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before="0" w:after="0"/>
        <w:ind w:hanging="0" w:start="0" w:end="676"/>
        <w:jc w:val="end"/>
        <w:rPr/>
      </w:pPr>
      <w:r>
        <w:rPr>
          <w:rFonts w:eastAsia="Calibri" w:cs="Calibri" w:ascii="Calibri" w:hAnsi="Calibri"/>
          <w:color w:val="000000"/>
          <w:sz w:val="22"/>
        </w:rPr>
        <w:t xml:space="preserve"> </w:t>
      </w:r>
    </w:p>
    <w:p>
      <w:pPr>
        <w:pStyle w:val="Normal"/>
        <w:spacing w:before="0" w:after="201"/>
        <w:ind w:hanging="0" w:start="-1"/>
        <w:rPr>
          <w:color w:themeColor="text1" w:val="000000"/>
        </w:rPr>
      </w:pPr>
      <w:r>
        <w:rPr>
          <w:color w:val="000000"/>
        </w:rPr>
        <w:t>*umowa między Op</w:t>
      </w:r>
      <w:r>
        <w:rPr/>
        <w:t xml:space="preserve">eratorem a </w:t>
      </w:r>
      <w:r>
        <w:rPr>
          <w:color w:themeColor="text1" w:val="000000"/>
        </w:rPr>
        <w:t>małą/średnią lokalną organizacją pozarządową (MiŚLOP)</w:t>
      </w:r>
    </w:p>
    <w:p>
      <w:pPr>
        <w:pStyle w:val="Normal"/>
        <w:spacing w:lineRule="auto" w:line="259" w:before="0" w:after="215"/>
        <w:ind w:hanging="0" w:start="14"/>
        <w:jc w:val="start"/>
        <w:rPr/>
      </w:pPr>
      <w:r>
        <w:rPr>
          <w:b/>
        </w:rPr>
        <w:t xml:space="preserve"> </w:t>
      </w:r>
    </w:p>
    <w:p>
      <w:pPr>
        <w:pStyle w:val="Heading1"/>
        <w:spacing w:before="0" w:after="210"/>
        <w:ind w:hanging="10" w:start="449" w:end="433"/>
        <w:rPr>
          <w:color w:val="auto"/>
        </w:rPr>
      </w:pPr>
      <w:r>
        <w:rPr/>
        <w:t xml:space="preserve">UMOWA MIKRODOTACJI NR </w:t>
      </w:r>
      <w:r>
        <w:rPr>
          <w:color w:val="auto"/>
        </w:rPr>
        <w:t>…../MMS</w:t>
      </w:r>
    </w:p>
    <w:p>
      <w:pPr>
        <w:pStyle w:val="Normal"/>
        <w:spacing w:lineRule="auto" w:line="259" w:before="0" w:after="215"/>
        <w:ind w:hanging="0" w:start="68"/>
        <w:jc w:val="center"/>
        <w:rPr/>
      </w:pPr>
      <w:r>
        <w:rPr>
          <w:b/>
        </w:rPr>
        <w:t xml:space="preserve"> </w:t>
      </w:r>
    </w:p>
    <w:p>
      <w:pPr>
        <w:pStyle w:val="Normal"/>
        <w:spacing w:lineRule="auto" w:line="353" w:before="0" w:after="121"/>
        <w:ind w:hanging="10" w:start="9" w:end="665"/>
        <w:jc w:val="start"/>
        <w:rPr>
          <w14:ligatures w14:val="none"/>
        </w:rPr>
      </w:pPr>
      <w:r>
        <w:rPr>
          <w14:ligatures w14:val="none"/>
        </w:rPr>
        <w:t xml:space="preserve">Zawarta w Toruniu w dniu ......................................... na projekt pt.: ……………………………………………………………………………………………………….............. </w:t>
      </w:r>
    </w:p>
    <w:p>
      <w:pPr>
        <w:pStyle w:val="Normal"/>
        <w:spacing w:before="0" w:after="0"/>
        <w:ind w:hanging="0" w:start="-1"/>
        <w:rPr>
          <w:color w:val="FF0000"/>
          <w14:ligatures w14:val="none"/>
        </w:rPr>
      </w:pPr>
      <w:r>
        <w:rPr>
          <w14:ligatures w14:val="none"/>
        </w:rPr>
        <w:t xml:space="preserve">w ramach konkursu </w:t>
      </w:r>
      <w:r>
        <w:rPr>
          <w:b/>
          <w:color w:val="111111"/>
          <w:szCs w:val="20"/>
        </w:rPr>
        <w:t>„Moc Małych Społeczności – Kujawsko-Pomorskie -</w:t>
      </w:r>
      <w:r>
        <w:rPr>
          <w:rFonts w:cs="Open sans" w:ascii="Open sans" w:hAnsi="Open sans"/>
          <w:b/>
          <w:color w:val="111111"/>
          <w:sz w:val="24"/>
          <w:szCs w:val="24"/>
        </w:rPr>
        <w:t xml:space="preserve"> </w:t>
      </w:r>
      <w:r>
        <w:rPr>
          <w14:ligatures w14:val="none"/>
        </w:rPr>
        <w:t xml:space="preserve">projekt „Inicjuj w małych społecznościach 2.0”, realizowanego przez Stowarzyszenie Kujawsko-Pomorski Ośrodek Wsparcia Inicjatyw Pozarządowych TŁOK oraz Towarzystwo Rozwoju Gminy Płużnica w ramach </w:t>
      </w:r>
      <w:r>
        <w:rPr>
          <w:rFonts w:eastAsia="Times New Roman"/>
          <w:szCs w:val="20"/>
          <w14:ligatures w14:val="none"/>
        </w:rPr>
        <w:t xml:space="preserve">środków </w:t>
      </w:r>
      <w:r>
        <w:rPr>
          <w:rFonts w:eastAsia="Times New Roman"/>
          <w:color w:val="auto"/>
          <w:kern w:val="0"/>
          <w:szCs w:val="20"/>
          <w14:ligatures w14:val="none"/>
        </w:rPr>
        <w:t>Rządowego Programu Wsparcia Organizacji Pozarządowych</w:t>
      </w:r>
      <w:r>
        <w:rPr>
          <w:rFonts w:eastAsia="Times New Roman"/>
          <w:color w:val="auto"/>
          <w:szCs w:val="20"/>
          <w14:ligatures w14:val="none"/>
        </w:rPr>
        <w:t xml:space="preserve"> </w:t>
      </w:r>
      <w:r>
        <w:rPr>
          <w:rFonts w:eastAsia="Times New Roman"/>
          <w:szCs w:val="20"/>
          <w14:ligatures w14:val="none"/>
        </w:rPr>
        <w:t xml:space="preserve">Moc Małych Społeczności </w:t>
      </w:r>
      <w:r>
        <w:rPr>
          <w:color w:val="FF0000"/>
          <w14:ligatures w14:val="none"/>
        </w:rPr>
        <w:t xml:space="preserve">. </w:t>
      </w:r>
    </w:p>
    <w:p>
      <w:pPr>
        <w:pStyle w:val="Normal"/>
        <w:spacing w:lineRule="auto" w:line="259" w:before="0" w:after="100"/>
        <w:ind w:hanging="0" w:start="14"/>
        <w:jc w:val="start"/>
        <w:rPr>
          <w14:ligatures w14:val="none"/>
        </w:rPr>
      </w:pPr>
      <w:r>
        <w:rPr>
          <w14:ligatures w14:val="none"/>
        </w:rPr>
        <w:t xml:space="preserve"> </w:t>
      </w:r>
    </w:p>
    <w:p>
      <w:pPr>
        <w:pStyle w:val="Normal"/>
        <w:spacing w:before="0" w:after="86"/>
        <w:ind w:hanging="0" w:start="-1"/>
        <w:rPr>
          <w14:ligatures w14:val="none"/>
        </w:rPr>
      </w:pPr>
      <w:r>
        <w:rPr>
          <w14:ligatures w14:val="none"/>
        </w:rPr>
        <w:t xml:space="preserve">Pomiędzy: </w:t>
      </w:r>
    </w:p>
    <w:p>
      <w:pPr>
        <w:pStyle w:val="Normal"/>
        <w:rPr>
          <w:rFonts w:eastAsia="Times New Roman"/>
          <w:color w:val="auto"/>
          <w:szCs w:val="20"/>
        </w:rPr>
      </w:pPr>
      <w:r>
        <w:rPr>
          <w:rFonts w:eastAsia="Times New Roman"/>
          <w:b/>
          <w:bCs/>
          <w:color w:val="auto"/>
          <w:szCs w:val="20"/>
        </w:rPr>
        <w:t>Stowarzyszeniem Kujawsko-Pomorski Ośrodek Wsparcia Inicjatyw Pozarządowych TŁOK</w:t>
      </w:r>
      <w:r>
        <w:rPr>
          <w:rFonts w:eastAsia="Times New Roman"/>
          <w:b/>
          <w:color w:val="auto"/>
          <w:szCs w:val="20"/>
        </w:rPr>
        <w:t>,</w:t>
      </w:r>
      <w:r>
        <w:rPr>
          <w:rFonts w:eastAsia="Times New Roman"/>
          <w:b w:val="false"/>
          <w:bCs w:val="false"/>
          <w:color w:val="auto"/>
          <w:szCs w:val="20"/>
        </w:rPr>
        <w:t xml:space="preserve"> z siedzibą w Toruniu, ul. Bartkiewiczówny 69, KRS </w:t>
      </w:r>
      <w:r>
        <w:rPr>
          <w:rStyle w:val="Strong"/>
          <w:rFonts w:eastAsia="Times New Roman"/>
          <w:b w:val="false"/>
          <w:bCs w:val="false"/>
          <w:color w:val="auto"/>
          <w:szCs w:val="18"/>
        </w:rPr>
        <w:t>0000231265</w:t>
      </w:r>
      <w:r>
        <w:rPr>
          <w:rFonts w:eastAsia="Times New Roman"/>
          <w:b w:val="false"/>
          <w:bCs w:val="false"/>
          <w:color w:val="auto"/>
          <w:szCs w:val="20"/>
        </w:rPr>
        <w:t xml:space="preserve">, NIP </w:t>
      </w:r>
      <w:r>
        <w:rPr>
          <w:rStyle w:val="Strong"/>
          <w:rFonts w:eastAsia="Times New Roman"/>
          <w:b w:val="false"/>
          <w:bCs w:val="false"/>
          <w:color w:val="auto"/>
          <w:szCs w:val="20"/>
        </w:rPr>
        <w:t>956 21 46 357</w:t>
      </w:r>
      <w:r>
        <w:rPr>
          <w:rFonts w:eastAsia="Times New Roman"/>
          <w:b w:val="false"/>
          <w:bCs w:val="false"/>
          <w:color w:val="auto"/>
          <w:szCs w:val="20"/>
        </w:rPr>
        <w:t xml:space="preserve">, zwanym dalej </w:t>
      </w:r>
      <w:r>
        <w:rPr>
          <w:rFonts w:eastAsia="Times New Roman"/>
          <w:b/>
          <w:bCs/>
          <w:color w:val="auto"/>
          <w:szCs w:val="20"/>
        </w:rPr>
        <w:t>Operatorem</w:t>
      </w:r>
      <w:r>
        <w:rPr>
          <w:rFonts w:eastAsia="Times New Roman"/>
          <w:b/>
          <w:color w:val="auto"/>
          <w:szCs w:val="20"/>
        </w:rPr>
        <w:t xml:space="preserve">, </w:t>
      </w:r>
    </w:p>
    <w:p>
      <w:pPr>
        <w:pStyle w:val="Normal"/>
        <w:spacing w:lineRule="auto" w:line="259" w:before="0" w:after="297"/>
        <w:ind w:hanging="0" w:start="0"/>
        <w:jc w:val="start"/>
        <w:rPr>
          <w:rFonts w:eastAsia="Times New Roman"/>
          <w:color w:val="auto"/>
          <w:szCs w:val="20"/>
          <w14:ligatures w14:val="none"/>
        </w:rPr>
      </w:pPr>
      <w:r>
        <w:rPr>
          <w:rFonts w:eastAsia="Times New Roman"/>
          <w:color w:val="auto"/>
          <w:szCs w:val="20"/>
          <w14:ligatures w14:val="none"/>
        </w:rPr>
        <w:t>reprezentowanym przez:</w:t>
      </w:r>
    </w:p>
    <w:p>
      <w:pPr>
        <w:pStyle w:val="Normal"/>
        <w:spacing w:lineRule="auto" w:line="259" w:before="0" w:after="297"/>
        <w:ind w:hanging="0" w:start="14"/>
        <w:jc w:val="start"/>
        <w:rPr>
          <w:rFonts w:eastAsia="Times New Roman"/>
          <w:color w:val="auto"/>
          <w:szCs w:val="20"/>
          <w14:ligatures w14:val="none"/>
        </w:rPr>
      </w:pPr>
      <w:r>
        <w:rPr>
          <w:rFonts w:eastAsia="Times New Roman"/>
          <w:b/>
          <w:color w:val="auto"/>
          <w:szCs w:val="20"/>
          <w14:ligatures w14:val="none"/>
        </w:rPr>
        <w:t>Ewę Kwiesielewicz-Szyszkę - prezeskę,</w:t>
      </w:r>
    </w:p>
    <w:p>
      <w:pPr>
        <w:pStyle w:val="Normal"/>
        <w:spacing w:lineRule="auto" w:line="262" w:before="0" w:after="296"/>
        <w:ind w:hanging="10" w:start="9" w:end="332"/>
        <w:jc w:val="start"/>
        <w:rPr/>
      </w:pPr>
      <w:r>
        <w:rPr/>
        <w:t xml:space="preserve">a </w:t>
      </w:r>
      <w:r>
        <w:rPr>
          <w:b/>
        </w:rPr>
        <w:t xml:space="preserve"> </w:t>
      </w:r>
    </w:p>
    <w:p>
      <w:pPr>
        <w:pStyle w:val="Normal"/>
        <w:spacing w:lineRule="auto" w:line="336" w:before="0" w:after="2"/>
        <w:ind w:hanging="0" w:start="0"/>
        <w:jc w:val="start"/>
        <w:rPr/>
      </w:pPr>
      <w:r>
        <w:rPr>
          <w:sz w:val="21"/>
        </w:rPr>
        <w:t>………………………………………………………………</w:t>
      </w:r>
      <w:r>
        <w:rPr>
          <w:sz w:val="21"/>
        </w:rPr>
        <w:t xml:space="preserve">..… (nazwa wnioskodawcy) ……………………………………..……………………(adres) ……………….(KRS/inny rejestr)……………………………(NIP)………………………………. </w:t>
      </w:r>
    </w:p>
    <w:p>
      <w:pPr>
        <w:pStyle w:val="Normal"/>
        <w:spacing w:before="0" w:after="86"/>
        <w:ind w:hanging="0" w:start="-1"/>
        <w:rPr/>
      </w:pPr>
      <w:r>
        <w:rPr/>
        <w:t xml:space="preserve">Reprezentowaną/-ym przez: </w:t>
      </w:r>
    </w:p>
    <w:p>
      <w:pPr>
        <w:pStyle w:val="Normal"/>
        <w:spacing w:before="0" w:after="86"/>
        <w:ind w:hanging="0" w:start="-1"/>
        <w:rPr/>
      </w:pPr>
      <w:r>
        <w:rPr/>
        <w:t xml:space="preserve">………………………………………… </w:t>
      </w:r>
    </w:p>
    <w:p>
      <w:pPr>
        <w:pStyle w:val="Normal"/>
        <w:spacing w:lineRule="auto" w:line="355" w:before="0" w:after="118"/>
        <w:ind w:hanging="0" w:start="14" w:end="5608"/>
        <w:jc w:val="start"/>
        <w:rPr/>
      </w:pPr>
      <w:r>
        <w:rPr/>
        <w:t>………………………………………… ………………………………………</w:t>
      </w:r>
      <w:r>
        <w:rPr/>
        <w:t xml:space="preserve">.. zwaną/-ym dalej </w:t>
      </w:r>
      <w:r>
        <w:rPr>
          <w:b/>
        </w:rPr>
        <w:t>Beneficjentem</w:t>
      </w:r>
      <w:r>
        <w:rPr/>
        <w:t xml:space="preserve">. </w:t>
      </w:r>
    </w:p>
    <w:p>
      <w:pPr>
        <w:pStyle w:val="Normal"/>
        <w:spacing w:before="0" w:after="288"/>
        <w:ind w:hanging="0" w:start="-1"/>
        <w:rPr/>
      </w:pPr>
      <w:r>
        <w:rPr/>
        <w:t xml:space="preserve">Strony uzgodniły, co następuje: </w:t>
      </w:r>
    </w:p>
    <w:p>
      <w:pPr>
        <w:pStyle w:val="Heading1"/>
        <w:spacing w:before="0" w:after="0"/>
        <w:ind w:hanging="10" w:start="449" w:end="432"/>
        <w:rPr/>
      </w:pPr>
      <w:r>
        <w:rPr/>
        <w:t xml:space="preserve">§ 1  </w:t>
      </w:r>
    </w:p>
    <w:p>
      <w:pPr>
        <w:pStyle w:val="Normal"/>
        <w:spacing w:lineRule="auto" w:line="259" w:before="0" w:after="243"/>
        <w:ind w:hanging="0" w:start="14"/>
        <w:jc w:val="start"/>
        <w:rPr/>
      </w:pPr>
      <w:r>
        <w:rPr/>
        <w:t xml:space="preserve"> </w:t>
      </w:r>
    </w:p>
    <w:p>
      <w:pPr>
        <w:pStyle w:val="Normal"/>
        <w:numPr>
          <w:ilvl w:val="0"/>
          <w:numId w:val="1"/>
        </w:numPr>
        <w:spacing w:before="0" w:after="64"/>
        <w:ind w:hanging="360" w:start="360"/>
        <w:rPr>
          <w:color w:themeColor="text1" w:val="000000"/>
          <w:szCs w:val="20"/>
        </w:rPr>
      </w:pPr>
      <w:r>
        <w:rPr>
          <w:rFonts w:eastAsia="Times New Roman"/>
          <w:color w:val="000000"/>
          <w:szCs w:val="20"/>
          <w:lang w:eastAsia="zh-CN"/>
          <w14:ligatures w14:val="none"/>
        </w:rPr>
        <w:t xml:space="preserve">Operator realizuje wraz z </w:t>
      </w:r>
      <w:r>
        <w:rPr>
          <w:rFonts w:eastAsia="Times New Roman"/>
          <w:color w:val="auto"/>
          <w:szCs w:val="20"/>
          <w:lang w:eastAsia="zh-CN"/>
        </w:rPr>
        <w:t xml:space="preserve">Stowarzyszeniem Towarzystwo Rozwoju Gminy Płużnica </w:t>
      </w:r>
      <w:r>
        <w:rPr>
          <w:rFonts w:eastAsia="Times New Roman"/>
          <w:color w:val="000000"/>
          <w:szCs w:val="20"/>
          <w:lang w:eastAsia="zh-CN"/>
          <w14:ligatures w14:val="none"/>
        </w:rPr>
        <w:t xml:space="preserve"> </w:t>
      </w:r>
      <w:r>
        <w:rPr/>
        <w:t xml:space="preserve">projekt „Inicjuj w małych społecznościach 2.0”, którego głównym celem jest </w:t>
      </w:r>
      <w:r>
        <w:rPr>
          <w:sz w:val="20"/>
          <w:szCs w:val="20"/>
          <w:shd w:fill="auto" w:val="clear"/>
        </w:rPr>
        <w:t xml:space="preserve">zwiększenie odporności społeczności lokalnych na kryzysy przez zwiększenie potencjału małych i średnich lokalnych organizacji działających na terenach wiejskich lub w małych i średnich miejscowościach do inicjowania i prowadzenia działań w tym obszarze. </w:t>
      </w:r>
    </w:p>
    <w:p>
      <w:pPr>
        <w:pStyle w:val="Normal"/>
        <w:numPr>
          <w:ilvl w:val="0"/>
          <w:numId w:val="0"/>
        </w:numPr>
        <w:spacing w:before="0" w:after="64"/>
        <w:ind w:hanging="0" w:start="360"/>
        <w:rPr>
          <w:highlight w:val="none"/>
          <w:shd w:fill="auto" w:val="clear"/>
        </w:rPr>
      </w:pPr>
      <w:r>
        <w:rPr>
          <w:rFonts w:eastAsia="" w:cs="Arial" w:eastAsiaTheme="minorEastAsia"/>
          <w:strike w:val="false"/>
          <w:dstrike w:val="false"/>
          <w:color w:themeColor="text1" w:val="000000"/>
          <w:kern w:val="0"/>
          <w:sz w:val="20"/>
          <w:szCs w:val="20"/>
          <w:u w:val="none"/>
          <w:shd w:fill="auto" w:val="clear"/>
        </w:rPr>
        <w:t xml:space="preserve">Zwiększenie potencjału organizacji ma również prowadzić do rozwoju i profesjonalizacji sektora pozarządowego, w tym do podniesienia jakości współpracy organizacji z administracją, ich efektywniejszego zaangażowania w działania na rzecz społeczności lokalnych i odpowiadania na aktualne problemy społeczne. </w:t>
      </w:r>
    </w:p>
    <w:p>
      <w:pPr>
        <w:pStyle w:val="Normal"/>
        <w:numPr>
          <w:ilvl w:val="0"/>
          <w:numId w:val="1"/>
        </w:numPr>
        <w:ind w:hanging="360" w:start="360"/>
        <w:rPr/>
      </w:pPr>
      <w:r>
        <w:rPr/>
        <w:t xml:space="preserve">Operator udziela Beneficjentowi wsparcia finansowego w postaci mikrodotacji ze środków </w:t>
      </w:r>
      <w:r>
        <w:rPr>
          <w:rFonts w:eastAsia="Times New Roman"/>
          <w:color w:val="auto"/>
          <w:kern w:val="0"/>
          <w:szCs w:val="20"/>
          <w14:ligatures w14:val="none"/>
        </w:rPr>
        <w:t>Rządowego Programu Wsparcia Organizacji</w:t>
      </w:r>
      <w:r>
        <w:rPr>
          <w:rFonts w:eastAsia="Times New Roman"/>
          <w:color w:val="000000"/>
          <w:kern w:val="0"/>
          <w:szCs w:val="20"/>
          <w14:ligatures w14:val="none"/>
        </w:rPr>
        <w:t xml:space="preserve"> Pozarządowych</w:t>
      </w:r>
      <w:r>
        <w:rPr>
          <w:rFonts w:eastAsia="Times New Roman"/>
          <w:color w:val="000000"/>
          <w:szCs w:val="20"/>
          <w14:ligatures w14:val="none"/>
        </w:rPr>
        <w:t xml:space="preserve"> Moc Małych Społeczności</w:t>
      </w:r>
      <w:r>
        <w:rPr>
          <w:rFonts w:eastAsia="Times New Roman"/>
          <w:color w:val="FF0000"/>
          <w:szCs w:val="20"/>
          <w14:ligatures w14:val="none"/>
        </w:rPr>
        <w:t xml:space="preserve"> </w:t>
      </w:r>
      <w:r>
        <w:rPr/>
        <w:t xml:space="preserve">na projekt pt.:…………………………………………………., na podstawie wniosku </w:t>
      </w:r>
      <w:r>
        <w:rPr>
          <w:color w:val="auto"/>
        </w:rPr>
        <w:t>nr …./MMS</w:t>
      </w:r>
      <w:r>
        <w:rPr/>
        <w:t xml:space="preserve"> z dnia……….…. stanowiącego załącznik nr 1 do niniejszej umowy. Wniosek wraz z budżetem stanowi integralną część umowy.</w:t>
      </w:r>
      <w:r>
        <w:rPr>
          <w:sz w:val="21"/>
        </w:rPr>
        <w:t xml:space="preserve"> </w:t>
      </w:r>
    </w:p>
    <w:p>
      <w:pPr>
        <w:pStyle w:val="Normal"/>
        <w:numPr>
          <w:ilvl w:val="0"/>
          <w:numId w:val="1"/>
        </w:numPr>
        <w:ind w:hanging="360" w:start="360"/>
        <w:rPr/>
      </w:pPr>
      <w:r>
        <w:rPr/>
        <w:t xml:space="preserve">Beneficjent przyjmuje środki finansowe w formie mikrodotacji i zobowiązuje się do ich wykorzystania na realizację projektu, o którym mowa w ust. 2 zgodnie z wnioskiem i niniejszą umową.  </w:t>
      </w:r>
    </w:p>
    <w:p>
      <w:pPr>
        <w:pStyle w:val="Normal"/>
        <w:numPr>
          <w:ilvl w:val="0"/>
          <w:numId w:val="1"/>
        </w:numPr>
        <w:spacing w:before="0" w:after="3"/>
        <w:ind w:hanging="360" w:start="360"/>
        <w:rPr/>
      </w:pPr>
      <w:r>
        <w:rPr/>
        <w:t>Beneficjent zobowiązuje się przy realizacji niniejszej umowy</w:t>
      </w:r>
      <w:r>
        <w:rPr>
          <w:sz w:val="21"/>
        </w:rPr>
        <w:t xml:space="preserve"> </w:t>
      </w:r>
      <w:r>
        <w:rPr/>
        <w:t xml:space="preserve">przestrzegać postanowień zawartych  w Regulaminie konkursu „Moc Małych Społeczności – Kujawsko-Pomorskie” w projekcie  „Inicjuj w małych społecznościach 2.0” i oświadcza, że zapoznał się z jego treścią. </w:t>
      </w:r>
    </w:p>
    <w:p>
      <w:pPr>
        <w:pStyle w:val="Normal"/>
        <w:spacing w:lineRule="auto" w:line="259" w:before="0" w:after="210"/>
        <w:ind w:hanging="0" w:start="14"/>
        <w:jc w:val="start"/>
        <w:rPr/>
      </w:pPr>
      <w:r>
        <w:rPr/>
        <w:t xml:space="preserve"> </w:t>
      </w:r>
    </w:p>
    <w:p>
      <w:pPr>
        <w:pStyle w:val="Heading1"/>
        <w:spacing w:before="0" w:after="0"/>
        <w:ind w:hanging="10" w:start="449" w:end="432"/>
        <w:rPr/>
      </w:pPr>
      <w:r>
        <w:rPr/>
        <w:t xml:space="preserve">§ 2  </w:t>
      </w:r>
    </w:p>
    <w:p>
      <w:pPr>
        <w:pStyle w:val="Normal"/>
        <w:spacing w:lineRule="auto" w:line="259" w:before="0" w:after="238"/>
        <w:ind w:hanging="0" w:start="14"/>
        <w:jc w:val="start"/>
        <w:rPr/>
      </w:pPr>
      <w:r>
        <w:rPr/>
        <w:t xml:space="preserve"> </w:t>
      </w:r>
    </w:p>
    <w:p>
      <w:pPr>
        <w:pStyle w:val="Normal"/>
        <w:numPr>
          <w:ilvl w:val="0"/>
          <w:numId w:val="2"/>
        </w:numPr>
        <w:spacing w:before="0" w:after="5"/>
        <w:ind w:hanging="360" w:start="360"/>
        <w:rPr/>
      </w:pPr>
      <w:r>
        <w:rPr/>
        <w:t xml:space="preserve">Całkowita kwota środków finansowych przyznanych w formie mikrodotacji wynosi brutto: </w:t>
      </w:r>
    </w:p>
    <w:p>
      <w:pPr>
        <w:pStyle w:val="Normal"/>
        <w:ind w:hanging="0" w:start="374" w:end="1767"/>
        <w:rPr/>
      </w:pPr>
      <w:r>
        <w:rPr/>
        <w:t xml:space="preserve">................................... PLN (słownie: .................................................. PLN).  </w:t>
      </w:r>
    </w:p>
    <w:p>
      <w:pPr>
        <w:pStyle w:val="ListParagraph"/>
        <w:numPr>
          <w:ilvl w:val="0"/>
          <w:numId w:val="2"/>
        </w:numPr>
        <w:spacing w:lineRule="auto" w:line="240"/>
        <w:ind w:hanging="0" w:start="0"/>
        <w:jc w:val="start"/>
        <w:rPr>
          <w:color w:val="auto"/>
        </w:rPr>
      </w:pPr>
      <w:r>
        <w:rPr/>
        <w:t xml:space="preserve">Operator wypłaci kwotę mikrodotacji określonej w ust. 1 na rachunek bankowy Beneficjenta nr ………………………………………………………………………………………….. prowadzony w banku …………………………………………………………..…………………. . </w:t>
      </w:r>
      <w:r>
        <w:rPr>
          <w:b/>
          <w:color w:val="auto"/>
        </w:rPr>
        <w:t>Wypłata nastąpi w terminie 14 dni od dnia podpisania umowy</w:t>
      </w:r>
      <w:r>
        <w:rPr>
          <w:color w:val="auto"/>
        </w:rPr>
        <w:t xml:space="preserve"> pod warunkiem posiadania przez Operatora środków przekazanych przez NIW-CRSO.</w:t>
      </w:r>
    </w:p>
    <w:p>
      <w:pPr>
        <w:pStyle w:val="ListParagraph"/>
        <w:numPr>
          <w:ilvl w:val="0"/>
          <w:numId w:val="2"/>
        </w:numPr>
        <w:spacing w:lineRule="auto" w:line="240"/>
        <w:jc w:val="start"/>
        <w:rPr>
          <w:rFonts w:ascii="Tahoma" w:hAnsi="Tahoma"/>
          <w:sz w:val="20"/>
          <w:szCs w:val="20"/>
        </w:rPr>
      </w:pPr>
      <w:r>
        <w:rPr>
          <w:rFonts w:eastAsia="" w:cs="Calibri-Bold" w:eastAsiaTheme="minorEastAsia"/>
          <w:b/>
          <w:bCs/>
          <w:color w:val="auto"/>
          <w:kern w:val="0"/>
          <w:sz w:val="20"/>
          <w:szCs w:val="20"/>
        </w:rPr>
        <w:t xml:space="preserve">Mikrodotacja zostanie wypłacona jako zaliczka lub refundacja poniesionych kosztów w ramach projektu przez beneficjenta. </w:t>
      </w:r>
    </w:p>
    <w:p>
      <w:pPr>
        <w:pStyle w:val="ListParagraph"/>
        <w:rPr>
          <w:rFonts w:ascii="Tahoma" w:hAnsi="Tahoma" w:eastAsia="" w:cs="Calibri-Bold" w:eastAsiaTheme="minorEastAsia"/>
          <w:b/>
          <w:bCs/>
          <w:color w:val="auto"/>
          <w:kern w:val="0"/>
          <w:sz w:val="20"/>
          <w:szCs w:val="20"/>
        </w:rPr>
      </w:pPr>
      <w:r>
        <w:rPr>
          <w:rFonts w:eastAsia="" w:cs="Calibri-Bold" w:eastAsiaTheme="minorEastAsia"/>
          <w:b/>
          <w:bCs/>
          <w:color w:val="auto"/>
          <w:kern w:val="0"/>
          <w:sz w:val="20"/>
          <w:szCs w:val="20"/>
        </w:rPr>
      </w:r>
    </w:p>
    <w:p>
      <w:pPr>
        <w:pStyle w:val="ListParagraph"/>
        <w:numPr>
          <w:ilvl w:val="0"/>
          <w:numId w:val="2"/>
        </w:numPr>
        <w:spacing w:lineRule="auto" w:line="240"/>
        <w:jc w:val="start"/>
        <w:rPr>
          <w:rFonts w:ascii="Tahoma" w:hAnsi="Tahoma"/>
          <w:sz w:val="20"/>
          <w:szCs w:val="20"/>
        </w:rPr>
      </w:pPr>
      <w:r>
        <w:rPr>
          <w:rFonts w:eastAsia="" w:cs="Calibri-Bold" w:eastAsiaTheme="minorEastAsia"/>
          <w:bCs/>
          <w:color w:val="auto"/>
          <w:kern w:val="0"/>
          <w:sz w:val="20"/>
          <w:szCs w:val="20"/>
        </w:rPr>
        <w:t>Okres kwalifikowalności</w:t>
      </w:r>
      <w:r>
        <w:rPr>
          <w:rFonts w:eastAsia="" w:cs="Calibri-Bold" w:eastAsiaTheme="minorEastAsia"/>
          <w:b/>
          <w:bCs/>
          <w:color w:val="auto"/>
          <w:kern w:val="0"/>
          <w:sz w:val="20"/>
          <w:szCs w:val="20"/>
        </w:rPr>
        <w:t xml:space="preserve"> </w:t>
      </w:r>
      <w:r>
        <w:rPr>
          <w:rFonts w:eastAsia="" w:eastAsiaTheme="minorEastAsia"/>
          <w:b/>
          <w:bCs/>
          <w:color w:val="auto"/>
          <w:kern w:val="0"/>
          <w:sz w:val="20"/>
          <w:szCs w:val="20"/>
        </w:rPr>
        <w:t xml:space="preserve">środków mieści się w datach realizacji projektu, tj. od dnia </w:t>
      </w:r>
      <w:r>
        <w:rPr>
          <w:rFonts w:eastAsia="" w:cs="Arial" w:ascii="Arial" w:hAnsi="Arial"/>
          <w:b/>
          <w:bCs/>
          <w:color w:themeColor="text1" w:val="000000"/>
          <w:kern w:val="0"/>
          <w:sz w:val="20"/>
          <w:szCs w:val="20"/>
        </w:rPr>
        <w:t>podpisania umowy</w:t>
      </w:r>
      <w:r>
        <w:rPr>
          <w:rFonts w:eastAsia="" w:eastAsiaTheme="minorEastAsia"/>
          <w:b/>
          <w:bCs/>
          <w:color w:val="auto"/>
          <w:kern w:val="0"/>
          <w:sz w:val="20"/>
          <w:szCs w:val="20"/>
        </w:rPr>
        <w:t xml:space="preserve"> …………………… do dnia …………………………….</w:t>
      </w:r>
      <w:r>
        <w:rPr>
          <w:rFonts w:eastAsia="" w:eastAsiaTheme="minorEastAsia"/>
          <w:bCs/>
          <w:color w:val="FF0000"/>
          <w:kern w:val="0"/>
          <w:sz w:val="20"/>
          <w:szCs w:val="20"/>
        </w:rPr>
        <w:t xml:space="preserve"> </w:t>
      </w:r>
    </w:p>
    <w:p>
      <w:pPr>
        <w:pStyle w:val="Heading1"/>
        <w:spacing w:before="0" w:after="243"/>
        <w:ind w:hanging="10" w:start="449" w:end="615"/>
        <w:rPr/>
      </w:pPr>
      <w:r>
        <w:rPr/>
        <w:t xml:space="preserve">§ 3 </w:t>
      </w:r>
    </w:p>
    <w:p>
      <w:pPr>
        <w:pStyle w:val="Normal"/>
        <w:numPr>
          <w:ilvl w:val="0"/>
          <w:numId w:val="3"/>
        </w:numPr>
        <w:ind w:hanging="283" w:start="283"/>
        <w:rPr/>
      </w:pPr>
      <w:r>
        <w:rPr/>
        <w:t xml:space="preserve">Podstawą wydatkowania środków w ramach umowy jest budżet projektu określony we wniosku  o przyznanie mikrodotacji. </w:t>
      </w:r>
    </w:p>
    <w:p>
      <w:pPr>
        <w:pStyle w:val="Normal"/>
        <w:numPr>
          <w:ilvl w:val="0"/>
          <w:numId w:val="3"/>
        </w:numPr>
        <w:spacing w:before="0" w:after="5"/>
        <w:ind w:hanging="283" w:start="283"/>
        <w:rPr/>
      </w:pPr>
      <w:r>
        <w:rPr/>
        <w:t xml:space="preserve">Beneficjent zobowiązuje się do realizacji projektu i wydatkowania przyznanych środków do dnia </w:t>
      </w:r>
    </w:p>
    <w:p>
      <w:pPr>
        <w:pStyle w:val="Normal"/>
        <w:ind w:hanging="0" w:start="297"/>
        <w:rPr/>
      </w:pPr>
      <w:r>
        <w:rPr/>
        <w:t xml:space="preserve">……………………………………………………… </w:t>
      </w:r>
    </w:p>
    <w:p>
      <w:pPr>
        <w:pStyle w:val="Normal"/>
        <w:numPr>
          <w:ilvl w:val="0"/>
          <w:numId w:val="3"/>
        </w:numPr>
        <w:ind w:hanging="283" w:start="283"/>
        <w:rPr/>
      </w:pPr>
      <w:r>
        <w:rPr/>
        <w:t xml:space="preserve">Termin  wydatkowania przyznanej mikrodotacji może zostać przedłużony na uzasadniony wniosek Beneficjenta, złożony do Operatora nie później niż w terminie 3 dni kalendarzowych przed dniem,  w którym upływa termin zakończenia wydatkowania środków finansowych. </w:t>
      </w:r>
    </w:p>
    <w:p>
      <w:pPr>
        <w:pStyle w:val="Normal"/>
        <w:numPr>
          <w:ilvl w:val="0"/>
          <w:numId w:val="3"/>
        </w:numPr>
        <w:spacing w:before="0" w:after="0"/>
        <w:ind w:hanging="283" w:start="283"/>
        <w:rPr/>
      </w:pPr>
      <w:r>
        <w:rPr/>
        <w:t xml:space="preserve">Beneficjent zobowiązany jest niezwłocznie powiadomić Operatora o wszelkich okolicznościach mogących zakłócić lub opóźnić prawidłową realizację projektu. </w:t>
      </w:r>
    </w:p>
    <w:p>
      <w:pPr>
        <w:pStyle w:val="Normal"/>
        <w:numPr>
          <w:ilvl w:val="0"/>
          <w:numId w:val="3"/>
        </w:numPr>
        <w:spacing w:before="0" w:after="0"/>
        <w:ind w:hanging="283" w:start="283"/>
        <w:rPr/>
      </w:pPr>
      <w:r>
        <w:rPr/>
        <w:t xml:space="preserve">Środki finansowe przyznane w ramach niniejszej umowy Beneficjent zobowiązuje się przeznaczyć wyłącznie na działalność pożytku publicznego.  </w:t>
      </w:r>
    </w:p>
    <w:p>
      <w:pPr>
        <w:pStyle w:val="Normal"/>
        <w:numPr>
          <w:ilvl w:val="0"/>
          <w:numId w:val="3"/>
        </w:numPr>
        <w:spacing w:before="0" w:after="204"/>
        <w:ind w:hanging="283" w:start="283"/>
        <w:rPr/>
      </w:pPr>
      <w:r>
        <w:rPr/>
        <w:t xml:space="preserve">Beneficjent zobowiązuje się do niepobierania świadczeń pieniężnych od odbiorców realizowanego  w ramach mikrodotacji projektu.  </w:t>
      </w:r>
    </w:p>
    <w:p>
      <w:pPr>
        <w:pStyle w:val="Normal"/>
        <w:spacing w:lineRule="auto" w:line="259" w:before="0" w:after="210"/>
        <w:ind w:hanging="0" w:start="14"/>
        <w:jc w:val="start"/>
        <w:rPr/>
      </w:pPr>
      <w:r>
        <w:rPr/>
        <w:t xml:space="preserve"> </w:t>
      </w:r>
    </w:p>
    <w:p>
      <w:pPr>
        <w:pStyle w:val="Heading1"/>
        <w:spacing w:before="0" w:after="243"/>
        <w:ind w:hanging="10" w:start="449" w:end="432"/>
        <w:rPr/>
      </w:pPr>
      <w:r>
        <w:rPr/>
        <w:t xml:space="preserve">§ 4 </w:t>
      </w:r>
    </w:p>
    <w:p>
      <w:pPr>
        <w:pStyle w:val="Normal"/>
        <w:numPr>
          <w:ilvl w:val="0"/>
          <w:numId w:val="4"/>
        </w:numPr>
        <w:spacing w:lineRule="auto" w:line="276" w:before="0" w:after="0"/>
        <w:ind w:hanging="425" w:start="425"/>
        <w:rPr>
          <w:rFonts w:eastAsia="NSimSun"/>
          <w:color w:val="auto"/>
          <w:szCs w:val="20"/>
          <w:lang w:eastAsia="zh-CN" w:bidi="hi-IN"/>
          <w14:ligatures w14:val="none"/>
        </w:rPr>
      </w:pPr>
      <w:r>
        <w:rPr>
          <w:color w:val="auto"/>
        </w:rPr>
        <w:t xml:space="preserve">W terminie </w:t>
      </w:r>
      <w:r>
        <w:rPr>
          <w:b/>
          <w:color w:val="auto"/>
        </w:rPr>
        <w:t xml:space="preserve">7 dni </w:t>
      </w:r>
      <w:r>
        <w:rPr>
          <w:color w:val="auto"/>
        </w:rPr>
        <w:t xml:space="preserve">od zakończenia realizacji projektu będącego przedmiotem mikrodotacji, Beneficjent zobowiązany jest  do rozliczenia otrzymanego wsparcia poprzez złożenie do Operatora szczegółowego sprawozdania finansowego oraz merytorycznego z realizacji dofinansowanego projektu, przy czym otrzymane środki mogą być wykorzystane wyłącznie na zadania określone  w zaakceptowanym wniosku.  </w:t>
      </w:r>
      <w:r>
        <w:rPr>
          <w:rFonts w:cs="Arial" w:ascii="Arial" w:hAnsi="Arial"/>
          <w:color w:val="auto"/>
          <w:szCs w:val="24"/>
        </w:rPr>
        <w:t xml:space="preserve">7 dni należy rozumieć jako termin wpływu dokumentów do biura </w:t>
      </w:r>
      <w:r>
        <w:rPr>
          <w:rFonts w:cs="Arial" w:ascii="Arial" w:hAnsi="Arial"/>
          <w:color w:val="auto"/>
        </w:rPr>
        <w:t>O</w:t>
      </w:r>
      <w:r>
        <w:rPr>
          <w:rFonts w:cs="Arial" w:ascii="Arial" w:hAnsi="Arial"/>
          <w:color w:val="auto"/>
          <w:szCs w:val="24"/>
        </w:rPr>
        <w:t xml:space="preserve">peratora. </w:t>
      </w:r>
    </w:p>
    <w:p>
      <w:pPr>
        <w:pStyle w:val="Normal"/>
        <w:numPr>
          <w:ilvl w:val="0"/>
          <w:numId w:val="4"/>
        </w:numPr>
        <w:spacing w:lineRule="auto" w:line="276" w:before="0" w:after="0"/>
        <w:ind w:hanging="427" w:start="427"/>
        <w:rPr>
          <w:color w:val="auto"/>
        </w:rPr>
      </w:pPr>
      <w:r>
        <w:rPr>
          <w:color w:val="auto"/>
        </w:rPr>
        <w:t xml:space="preserve">W przypadku niezłożenia sprawozdania, o którym mowa w ust. 1, w terminie Operator wzywa pisemnie Realizatorów projektu do ich złożenia w </w:t>
      </w:r>
      <w:r>
        <w:rPr/>
        <w:t>terminie 3 dni</w:t>
      </w:r>
      <w:r>
        <w:rPr>
          <w:color w:val="auto"/>
        </w:rPr>
        <w:t xml:space="preserve"> od dnia otrzymania wezwania.</w:t>
      </w:r>
    </w:p>
    <w:p>
      <w:pPr>
        <w:pStyle w:val="Normal"/>
        <w:numPr>
          <w:ilvl w:val="0"/>
          <w:numId w:val="4"/>
        </w:numPr>
        <w:spacing w:lineRule="auto" w:line="276" w:before="0" w:after="0"/>
        <w:ind w:hanging="427" w:start="427"/>
        <w:rPr>
          <w:color w:val="auto"/>
        </w:rPr>
      </w:pPr>
      <w:r>
        <w:rPr>
          <w:color w:val="auto"/>
        </w:rPr>
        <w:t>Niezastosowanie się do wezwania, o którym mowa w ust. 2, może skutkować uznaniem dotacji za wykorzystaną niezgodnie z przeznaczeniem na zasadach, o których mowa w ustawie z dnia 27 sierpnia 2009 r. o finansach publicznych.</w:t>
      </w:r>
    </w:p>
    <w:p>
      <w:pPr>
        <w:pStyle w:val="Normal"/>
        <w:numPr>
          <w:ilvl w:val="0"/>
          <w:numId w:val="4"/>
        </w:numPr>
        <w:spacing w:lineRule="auto" w:line="276" w:before="0" w:after="0"/>
        <w:ind w:hanging="425" w:start="427"/>
        <w:rPr>
          <w:rFonts w:eastAsia="NSimSun"/>
          <w:color w:val="auto"/>
          <w:szCs w:val="20"/>
          <w:lang w:eastAsia="zh-CN" w:bidi="hi-IN"/>
          <w14:ligatures w14:val="none"/>
        </w:rPr>
      </w:pPr>
      <w:r>
        <w:rPr>
          <w:color w:val="auto"/>
        </w:rPr>
        <w:t>Niezastosowanie się do wezwania, o którym mowa w ust. 2, może być podstawą do natychmiastowego rozwiązania umowy przez Zleceniodawcę.</w:t>
      </w:r>
    </w:p>
    <w:p>
      <w:pPr>
        <w:pStyle w:val="Normal"/>
        <w:numPr>
          <w:ilvl w:val="0"/>
          <w:numId w:val="4"/>
        </w:numPr>
        <w:rPr/>
      </w:pPr>
      <w:r>
        <w:rPr>
          <w:color w:val="auto"/>
        </w:rPr>
        <w:t xml:space="preserve">W terminie </w:t>
      </w:r>
      <w:r>
        <w:rPr>
          <w:b/>
          <w:color w:val="auto"/>
        </w:rPr>
        <w:t>7 dni</w:t>
      </w:r>
      <w:r>
        <w:rPr>
          <w:color w:val="auto"/>
        </w:rPr>
        <w:t xml:space="preserve"> Beneficjent zwraca Operatorowi środki niewykorzystane na realizację projektu na rachunek bankowy Operatora </w:t>
      </w:r>
      <w:r>
        <w:rPr>
          <w:rFonts w:cs="Tahoma"/>
          <w:sz w:val="21"/>
          <w:szCs w:val="21"/>
        </w:rPr>
        <w:t>n</w:t>
      </w:r>
      <w:r>
        <w:rPr>
          <w:rFonts w:cs="Tahoma"/>
          <w:sz w:val="21"/>
          <w:szCs w:val="21"/>
          <w:shd w:fill="auto" w:val="clear"/>
        </w:rPr>
        <w:t xml:space="preserve">r </w:t>
      </w:r>
      <w:r>
        <w:rPr>
          <w:sz w:val="21"/>
          <w:szCs w:val="21"/>
          <w:shd w:fill="auto" w:val="clear"/>
        </w:rPr>
        <w:t>21 1240</w:t>
      </w:r>
      <w:r>
        <w:rPr>
          <w:rFonts w:cs="Tahoma"/>
          <w:sz w:val="21"/>
          <w:szCs w:val="21"/>
          <w:shd w:fill="auto" w:val="clear"/>
        </w:rPr>
        <w:t>1936 1111 0011 0661 5433.</w:t>
      </w:r>
    </w:p>
    <w:p>
      <w:pPr>
        <w:pStyle w:val="Normal"/>
        <w:numPr>
          <w:ilvl w:val="0"/>
          <w:numId w:val="4"/>
        </w:numPr>
        <w:spacing w:lineRule="auto" w:line="276" w:before="0" w:after="0"/>
        <w:ind w:hanging="284" w:start="284"/>
        <w:rPr>
          <w:b w:val="false"/>
          <w:bCs w:val="false"/>
        </w:rPr>
      </w:pPr>
      <w:r>
        <w:rPr>
          <w:rFonts w:eastAsia="Times New Roman"/>
          <w:b w:val="false"/>
          <w:bCs w:val="false"/>
          <w:color w:val="auto"/>
          <w:szCs w:val="20"/>
          <w:lang w:eastAsia="zh-CN"/>
          <w14:ligatures w14:val="none"/>
        </w:rPr>
        <w:t>Odsetki od niewykorzystanej kwoty dotacji zwróconej po terminie, o którym mowa w ust. 5, podlegają zwrotowi w wysokości określonej jak dla zaległości podatkowych na rachunek bankowy Operatora o numerze, o którym mowa w ust. 5. Odsetki nalicza się, począwszy od dnia następującego po dniu, w którym upłynął termin zwrotu niewykorzystanej kwoty dotacji.</w:t>
      </w:r>
    </w:p>
    <w:p>
      <w:pPr>
        <w:pStyle w:val="Normal"/>
        <w:numPr>
          <w:ilvl w:val="0"/>
          <w:numId w:val="4"/>
        </w:numPr>
        <w:spacing w:lineRule="auto" w:line="276" w:before="0" w:after="0"/>
        <w:ind w:hanging="284" w:start="284"/>
        <w:rPr>
          <w:b w:val="false"/>
          <w:bCs w:val="false"/>
        </w:rPr>
      </w:pPr>
      <w:r>
        <w:rPr>
          <w:rFonts w:eastAsia="Times New Roman"/>
          <w:b w:val="false"/>
          <w:bCs w:val="false"/>
          <w:color w:val="auto"/>
          <w:szCs w:val="20"/>
          <w:lang w:eastAsia="zh-CN"/>
          <w14:ligatures w14:val="none"/>
        </w:rPr>
        <w:t>Niewykorzystane przychody i odsetki bankowe od przyznanej dotacji podlegają zwrotowi na zasadach określonych w ust. 6.</w:t>
      </w:r>
    </w:p>
    <w:p>
      <w:pPr>
        <w:pStyle w:val="Normal"/>
        <w:numPr>
          <w:ilvl w:val="0"/>
          <w:numId w:val="4"/>
        </w:numPr>
        <w:spacing w:lineRule="auto" w:line="276" w:before="0" w:after="0"/>
        <w:ind w:hanging="284" w:start="284"/>
        <w:rPr>
          <w:b w:val="false"/>
          <w:bCs w:val="false"/>
        </w:rPr>
      </w:pPr>
      <w:r>
        <w:rPr>
          <w:rFonts w:eastAsia="Times New Roman"/>
          <w:b w:val="false"/>
          <w:bCs w:val="false"/>
          <w:color w:val="auto"/>
          <w:szCs w:val="20"/>
          <w:lang w:eastAsia="zh-CN"/>
          <w14:ligatures w14:val="none"/>
        </w:rPr>
        <w:t xml:space="preserve">Kwota dotacji wykorzystana niezgodnie z przeznaczeniem lub pobrana nienależnie lub w nadmiernej wysokości – podlega zwrotowi wraz z odsetkami w wysokości określonej jak dla zaległości podatkowych, na zasadach określonych w przepisach ustawy o finansach publicznych. </w:t>
      </w:r>
    </w:p>
    <w:p>
      <w:pPr>
        <w:pStyle w:val="Normal"/>
        <w:numPr>
          <w:ilvl w:val="0"/>
          <w:numId w:val="4"/>
        </w:numPr>
        <w:spacing w:lineRule="auto" w:line="276" w:before="0" w:after="0"/>
        <w:ind w:hanging="425" w:start="427"/>
        <w:rPr>
          <w:b w:val="false"/>
          <w:bCs w:val="false"/>
        </w:rPr>
      </w:pPr>
      <w:r>
        <w:rPr>
          <w:rFonts w:eastAsia="Times New Roman"/>
          <w:b w:val="false"/>
          <w:bCs w:val="false"/>
          <w:color w:val="auto"/>
          <w:szCs w:val="20"/>
          <w:lang w:eastAsia="zh-CN"/>
          <w14:ligatures w14:val="none"/>
        </w:rPr>
        <w:t>Wszelkie rozliczenia z Operatorem odbywają się z rachunku Beneficjenta projektu wskazanego w § 2 ust. 2. Operator ma prawo nie uznać zwrotu środków dokonanego z innego rachunku, w szczególności, jeżeli Beneficjent projektu wcześniej nie złożył w tej sprawie żadnych wyjaśnień.</w:t>
      </w:r>
    </w:p>
    <w:p>
      <w:pPr>
        <w:pStyle w:val="Normal"/>
        <w:numPr>
          <w:ilvl w:val="0"/>
          <w:numId w:val="4"/>
        </w:numPr>
        <w:tabs>
          <w:tab w:val="clear" w:pos="708"/>
          <w:tab w:val="left" w:pos="284" w:leader="none"/>
        </w:tabs>
        <w:spacing w:lineRule="auto" w:line="276" w:before="0" w:after="0"/>
        <w:ind w:hanging="425" w:start="425"/>
        <w:rPr>
          <w:rFonts w:eastAsia="NSimSun"/>
          <w:color w:val="auto"/>
          <w:szCs w:val="20"/>
          <w:lang w:eastAsia="zh-CN" w:bidi="hi-IN"/>
          <w14:ligatures w14:val="none"/>
        </w:rPr>
      </w:pPr>
      <w:r>
        <w:rPr>
          <w:color w:val="auto"/>
        </w:rPr>
        <w:t>Beneficjent jest zobowiązany do prowadzenia przejrzystej dokumentacji księgowej pełnej bądź uproszczonej</w:t>
      </w:r>
      <w:r>
        <w:rPr>
          <w:color w:val="auto"/>
          <w:vertAlign w:val="superscript"/>
        </w:rPr>
        <w:t>1</w:t>
      </w:r>
      <w:r>
        <w:rPr>
          <w:color w:val="auto"/>
        </w:rPr>
        <w:t xml:space="preserve">, dotyczącej projektu, w sposób umożliwiający identyfikację poszczególnych operacji księgowych oraz do trwałego umieszczania na wszystkich oryginalnych dokumentach finansowych (fakturach, rachunkach, umowach, rozliczeniach delegacji, innych) dotyczących realizacji umowy informacji </w:t>
      </w:r>
      <w:r>
        <w:rPr>
          <w:rFonts w:eastAsia="NSimSun"/>
          <w:i/>
          <w:color w:val="auto"/>
          <w:szCs w:val="20"/>
          <w:lang w:eastAsia="zh-CN" w:bidi="hi-IN"/>
          <w14:ligatures w14:val="none"/>
        </w:rPr>
        <w:t>„</w:t>
      </w:r>
      <w:r>
        <w:rPr>
          <w:rFonts w:eastAsia="NSimSun"/>
          <w:color w:val="auto"/>
          <w:szCs w:val="20"/>
          <w:lang w:eastAsia="zh-CN" w:bidi="hi-IN"/>
          <w14:ligatures w14:val="none"/>
        </w:rPr>
        <w:t>Sfinansowano/Współfinansowano ze środków Narodowego Instytutu Wolności – Centrum Rozwoju Społeczeństwa Obywatelskiego w ramach Programu MOC MAŁYCH SPOŁECZNOŚCI w wysokości ………... w ramach realizacji zadania określonego umową nr…”</w:t>
      </w:r>
    </w:p>
    <w:p>
      <w:pPr>
        <w:pStyle w:val="Normal"/>
        <w:numPr>
          <w:ilvl w:val="0"/>
          <w:numId w:val="4"/>
        </w:numPr>
        <w:spacing w:before="0" w:after="0"/>
        <w:ind w:hanging="425" w:start="425"/>
        <w:rPr/>
      </w:pPr>
      <w:r>
        <w:rPr>
          <w:color w:val="auto"/>
        </w:rPr>
        <w:t>Do sprawozdania, o którym mowa w ust.1, wymagane jest załączenie potwierdzonych za zgodność z oryginałem kserokopii faktur sprawdzonych pod względem merytorycznym i finansowym,  zatwierdzonych do wypłaty, potwierdzeń zapłaty oraz kopii innych dokumentów, w tym m.in. protokołów odbioru robót, usług, dostaw, umów cywilnoprawnych oraz rachunków do umów cywilnoprawnych, potwierdzających poniesione w projekcie wydatki</w:t>
      </w:r>
      <w:r>
        <w:rPr/>
        <w:t xml:space="preserve">. </w:t>
      </w:r>
    </w:p>
    <w:p>
      <w:pPr>
        <w:pStyle w:val="Normal"/>
        <w:spacing w:lineRule="auto" w:line="259" w:before="0" w:after="0"/>
        <w:ind w:hanging="0" w:start="14"/>
        <w:jc w:val="start"/>
        <w:rPr/>
      </w:pPr>
      <w:r>
        <w:rPr/>
        <mc:AlternateContent>
          <mc:Choice Requires="wpg">
            <w:drawing>
              <wp:inline distT="0" distB="0" distL="0" distR="0" wp14:anchorId="362C99C8">
                <wp:extent cx="1829435" cy="8890"/>
                <wp:effectExtent l="0" t="0" r="0" b="0"/>
                <wp:docPr id="1" name="Group 6786"/>
                <a:graphic xmlns:a="http://schemas.openxmlformats.org/drawingml/2006/main">
                  <a:graphicData uri="http://schemas.microsoft.com/office/word/2010/wordprocessingGroup">
                    <wpg:wgp>
                      <wpg:cNvGrpSpPr/>
                      <wpg:grpSpPr>
                        <a:xfrm>
                          <a:off x="0" y="0"/>
                          <a:ext cx="1829520" cy="9000"/>
                          <a:chOff x="0" y="0"/>
                          <a:chExt cx="1829520" cy="9000"/>
                        </a:xfrm>
                      </wpg:grpSpPr>
                      <wps:wsp>
                        <wps:cNvPr id="2" name="Shape 8345"/>
                        <wps:cNvSpPr/>
                        <wps:spPr>
                          <a:xfrm>
                            <a:off x="0" y="0"/>
                            <a:ext cx="1829520" cy="9000"/>
                          </a:xfrm>
                          <a:custGeom>
                            <a:avLst/>
                            <a:gdLst>
                              <a:gd name="textAreaLeft" fmla="*/ 0 w 1037160"/>
                              <a:gd name="textAreaRight" fmla="*/ 1038960 w 1037160"/>
                              <a:gd name="textAreaTop" fmla="*/ 0 h 5040"/>
                              <a:gd name="textAreaBottom" fmla="*/ 6840 h 5040"/>
                            </a:gdLst>
                            <a:ahLst/>
                            <a:cxnLst/>
                            <a:rect l="textAreaLeft" t="textAreaTop" r="textAreaRight" b="textAreaBottom"/>
                            <a:pathLst>
                              <a:path w="1829435" h="9144">
                                <a:moveTo>
                                  <a:pt x="0" y="0"/>
                                </a:moveTo>
                                <a:lnTo>
                                  <a:pt x="1829435" y="0"/>
                                </a:lnTo>
                                <a:lnTo>
                                  <a:pt x="1829435" y="9144"/>
                                </a:lnTo>
                                <a:lnTo>
                                  <a:pt x="0" y="9144"/>
                                </a:lnTo>
                                <a:lnTo>
                                  <a:pt x="0" y="0"/>
                                </a:lnTo>
                              </a:path>
                            </a:pathLst>
                          </a:custGeom>
                          <a:solidFill>
                            <a:srgbClr val="000000"/>
                          </a:solidFill>
                          <a:ln w="0">
                            <a:noFill/>
                          </a:ln>
                        </wps:spPr>
                        <wps:style>
                          <a:lnRef idx="0"/>
                          <a:fillRef idx="0"/>
                          <a:effectRef idx="0"/>
                          <a:fontRef idx="minor"/>
                        </wps:style>
                        <wps:bodyPr/>
                      </wps:wsp>
                    </wpg:wgp>
                  </a:graphicData>
                </a:graphic>
              </wp:inline>
            </w:drawing>
          </mc:Choice>
          <mc:Fallback>
            <w:pict>
              <v:group id="shape_0" alt="Group 6786" style="position:absolute;margin-left:0pt;margin-top:-0.75pt;width:144.05pt;height:0.7pt" coordorigin="0,-15" coordsize="2881,14"/>
            </w:pict>
          </mc:Fallback>
        </mc:AlternateContent>
      </w:r>
      <w:r>
        <w:rPr>
          <w:rFonts w:eastAsia="Calibri" w:cs="Calibri" w:ascii="Calibri" w:hAnsi="Calibri"/>
          <w:color w:val="000000"/>
          <w:sz w:val="22"/>
        </w:rPr>
        <w:t xml:space="preserve"> </w:t>
      </w:r>
    </w:p>
    <w:p>
      <w:pPr>
        <w:pStyle w:val="Normal"/>
        <w:spacing w:lineRule="auto" w:line="250" w:before="0" w:after="4"/>
        <w:ind w:hanging="10" w:start="9"/>
        <w:rPr/>
      </w:pPr>
      <w:r>
        <w:rPr>
          <w:rFonts w:eastAsia="Calibri" w:cs="Calibri" w:ascii="Calibri" w:hAnsi="Calibri"/>
          <w:color w:val="000000"/>
          <w:vertAlign w:val="superscript"/>
        </w:rPr>
        <w:t>1</w:t>
      </w:r>
      <w:r>
        <w:rPr>
          <w:rFonts w:eastAsia="Calibri" w:cs="Calibri" w:ascii="Calibri" w:hAnsi="Calibri"/>
          <w:color w:val="000000"/>
        </w:rPr>
        <w:t xml:space="preserve">Obowiązek prowadzenia pełnej bądź uproszczonej księgowości przez podmiot – beneficjenta wsparcia, powinien być weryfikowany w oparciu o następujące dokumenty: </w:t>
      </w:r>
    </w:p>
    <w:p>
      <w:pPr>
        <w:pStyle w:val="Normal"/>
        <w:numPr>
          <w:ilvl w:val="0"/>
          <w:numId w:val="5"/>
        </w:numPr>
        <w:spacing w:lineRule="auto" w:line="250" w:before="0" w:after="4"/>
        <w:ind w:hanging="110" w:start="110"/>
        <w:rPr/>
      </w:pPr>
      <w:r>
        <w:rPr>
          <w:rFonts w:eastAsia="Calibri" w:cs="Calibri" w:ascii="Calibri" w:hAnsi="Calibri"/>
          <w:color w:val="000000"/>
        </w:rPr>
        <w:t xml:space="preserve">ustawa z dnia 29 września 1994 r. o rachunkowości (Dz. U. z 2019 r. poz. 351, z późn. zm.), </w:t>
      </w:r>
    </w:p>
    <w:p>
      <w:pPr>
        <w:pStyle w:val="Normal"/>
        <w:numPr>
          <w:ilvl w:val="0"/>
          <w:numId w:val="5"/>
        </w:numPr>
        <w:spacing w:lineRule="auto" w:line="240" w:before="0" w:after="0"/>
        <w:ind w:hanging="110" w:start="110"/>
        <w:rPr/>
      </w:pPr>
      <w:r>
        <w:rPr>
          <w:rFonts w:eastAsia="Calibri" w:cs="Calibri" w:ascii="Calibri" w:hAnsi="Calibri"/>
          <w:color w:val="000000"/>
        </w:rPr>
        <w:t xml:space="preserve">ustawa z dnia 24 kwietnia 2003 r. o działalności pożytku publicznego i o wolontariacie (Dz. U. z 2019 r. poz. 688,  z późn. zm.), </w:t>
      </w:r>
    </w:p>
    <w:p>
      <w:pPr>
        <w:pStyle w:val="Normal"/>
        <w:numPr>
          <w:ilvl w:val="0"/>
          <w:numId w:val="5"/>
        </w:numPr>
        <w:spacing w:lineRule="auto" w:line="250" w:before="0" w:after="4"/>
        <w:ind w:hanging="110" w:start="110"/>
        <w:rPr/>
      </w:pPr>
      <w:r>
        <w:rPr>
          <w:rFonts w:eastAsia="Calibri" w:cs="Calibri" w:ascii="Calibri" w:hAnsi="Calibri"/>
          <w:color w:val="000000"/>
        </w:rPr>
        <w:t xml:space="preserve">ustawa z dnia 9 listopada 2018 r. o kołach gospodyń wiejskich (Dz. U. z 2018 r. poz. 2212, z późn. zm.), </w:t>
      </w:r>
    </w:p>
    <w:p>
      <w:pPr>
        <w:pStyle w:val="Normal"/>
        <w:numPr>
          <w:ilvl w:val="0"/>
          <w:numId w:val="5"/>
        </w:numPr>
        <w:spacing w:lineRule="auto" w:line="250" w:before="0" w:after="4"/>
        <w:ind w:hanging="110" w:start="110"/>
        <w:rPr/>
      </w:pPr>
      <w:r>
        <w:rPr>
          <w:rFonts w:eastAsia="Calibri" w:cs="Calibri" w:ascii="Calibri" w:hAnsi="Calibri"/>
          <w:color w:val="000000"/>
        </w:rPr>
        <w:t xml:space="preserve">Rozporządzenie Ministra Finansów z dnia 22 października 2018 r. w sprawie prowadzenia uproszczonej ewidencji przychodów i kosztów przez niektóre organizacje pozarządowe oraz stowarzyszenia jednostek samorządu terytorialnego (Dz. U. z 2018 r. poz. 2050, z późn. zm.), </w:t>
      </w:r>
    </w:p>
    <w:p>
      <w:pPr>
        <w:pStyle w:val="Normal"/>
        <w:numPr>
          <w:ilvl w:val="0"/>
          <w:numId w:val="5"/>
        </w:numPr>
        <w:spacing w:lineRule="auto" w:line="250" w:before="0" w:after="4"/>
        <w:ind w:hanging="110" w:start="110"/>
        <w:rPr/>
      </w:pPr>
      <w:r>
        <w:rPr>
          <w:rFonts w:eastAsia="Calibri" w:cs="Calibri" w:ascii="Calibri" w:hAnsi="Calibri"/>
          <w:color w:val="000000"/>
        </w:rPr>
        <w:t xml:space="preserve">Rozporządzenie Ministra Finansów z dnia 7 stycznia 2019 r. w sprawie prowadzenia uproszczonej ewidencji przychodów i kosztów przez koła gospodyń wiejskich (Dz. U. z 2019 r. poz. 70 z późn. zm.). </w:t>
      </w:r>
    </w:p>
    <w:p>
      <w:pPr>
        <w:pStyle w:val="Normal"/>
        <w:spacing w:lineRule="auto" w:line="259" w:before="0" w:after="0"/>
        <w:ind w:hanging="0" w:start="0" w:end="676"/>
        <w:jc w:val="end"/>
        <w:rPr/>
      </w:pPr>
      <w:r>
        <w:rPr>
          <w:rFonts w:eastAsia="Calibri" w:cs="Calibri" w:ascii="Calibri" w:hAnsi="Calibri"/>
          <w:color w:val="000000"/>
          <w:sz w:val="22"/>
        </w:rPr>
        <w:t xml:space="preserve"> </w:t>
      </w:r>
    </w:p>
    <w:p>
      <w:pPr>
        <w:pStyle w:val="Heading1"/>
        <w:spacing w:before="0" w:after="320"/>
        <w:ind w:hanging="10" w:start="449"/>
        <w:rPr/>
      </w:pPr>
      <w:r>
        <w:rPr/>
        <w:t>§5</w:t>
      </w:r>
      <w:r>
        <w:rPr>
          <w:b w:val="false"/>
        </w:rPr>
        <w:t xml:space="preserve"> </w:t>
      </w:r>
    </w:p>
    <w:p>
      <w:pPr>
        <w:pStyle w:val="ListParagraph"/>
        <w:numPr>
          <w:ilvl w:val="0"/>
          <w:numId w:val="11"/>
        </w:numPr>
        <w:ind w:hanging="426" w:start="426"/>
        <w:rPr/>
      </w:pPr>
      <w:r>
        <w:rPr/>
        <w:t xml:space="preserve">Beneficjent zobowiązuje się informować lokalne środowisko, w którym realizowane jest  przedsięwzięcie, lokalne media oraz właściwe jednostki samorządu terytorialnego o dofinansowaniu projektu przez NIW-CRSO ze środków </w:t>
      </w:r>
      <w:r>
        <w:rPr>
          <w:color w:val="auto"/>
          <w:kern w:val="0"/>
          <w:szCs w:val="20"/>
          <w14:ligatures w14:val="none"/>
        </w:rPr>
        <w:t>Rządowego Programu Wsparcia Organizacji Pozarządowych</w:t>
      </w:r>
      <w:r>
        <w:rPr>
          <w:color w:val="auto"/>
          <w:szCs w:val="20"/>
          <w14:ligatures w14:val="none"/>
        </w:rPr>
        <w:t xml:space="preserve"> </w:t>
      </w:r>
      <w:r>
        <w:rPr>
          <w:szCs w:val="20"/>
          <w14:ligatures w14:val="none"/>
        </w:rPr>
        <w:t xml:space="preserve">Moc Małych Społeczności </w:t>
      </w:r>
      <w:r>
        <w:rPr/>
        <w:t>w ramach konkursu „Moc Małych Społeczności – Kujawsko-Pomorskie” ze środków projektu „Inicjuj w małych społecznościach 2”. Informacja Sfinansowano/Współfinansowano ze środków Narodowego Instytutu Wolności – Centrum Rozwoju Społeczeństwa Obywatelskiego w ramach Programu MOC MAŁYCH SPOŁECZNOŚCI w wysokości ………... w ramach realizacji zadania określonego umową nr…”.  –</w:t>
      </w:r>
      <w:r>
        <w:rPr>
          <w:color w:val="FF0000"/>
          <w:szCs w:val="20"/>
          <w14:ligatures w14:val="none"/>
        </w:rPr>
        <w:t xml:space="preserve"> </w:t>
      </w:r>
      <w:r>
        <w:rPr/>
        <w:t xml:space="preserve">powinna się znaleźć we wszystkich materiałach, publikacjach, informacjach dla mediów, ogłoszeniach oraz wystąpieniach publicznych, dotyczących realizowanego projektu. </w:t>
      </w:r>
    </w:p>
    <w:p>
      <w:pPr>
        <w:pStyle w:val="ListParagraph"/>
        <w:numPr>
          <w:ilvl w:val="0"/>
          <w:numId w:val="11"/>
        </w:numPr>
        <w:ind w:hanging="426" w:start="426"/>
        <w:rPr/>
      </w:pPr>
      <w:r>
        <w:rPr/>
        <w:t xml:space="preserve">Beneficjent zobowiązuje się do umieszczania logo Narodowego Instytutu Wolności – Centrum Rozwoju Społeczeństwa Obywatelskiego, </w:t>
      </w:r>
      <w:r>
        <w:rPr>
          <w:rFonts w:eastAsia="Times New Roman"/>
          <w:color w:val="auto"/>
          <w:kern w:val="0"/>
          <w:szCs w:val="20"/>
          <w14:ligatures w14:val="none"/>
        </w:rPr>
        <w:t>Rządowego Programu Wsparcia Organizacji Pozarządowych</w:t>
      </w:r>
      <w:r>
        <w:rPr>
          <w:rFonts w:eastAsia="Times New Roman"/>
          <w:color w:val="auto"/>
          <w:szCs w:val="20"/>
          <w14:ligatures w14:val="none"/>
        </w:rPr>
        <w:t xml:space="preserve"> </w:t>
      </w:r>
      <w:r>
        <w:rPr>
          <w:rFonts w:eastAsia="Times New Roman"/>
          <w:szCs w:val="20"/>
          <w14:ligatures w14:val="none"/>
        </w:rPr>
        <w:t>Moc Małych Społeczności</w:t>
      </w:r>
      <w:r>
        <w:rPr/>
        <w:t xml:space="preserve"> i Operatorów oraz informacji, Sfinansowano/Współfinansowano ze środków Narodowego Instytutu Wolności – Centrum Rozwoju Społeczeństwa Obywatelskiego w ramach Programu MOC MAŁYCH SPOŁECZNOŚCI w wysokości………... w ramach realizacji zadania określonego umową nr…” , na wszystkich materiałach, w szczególności promocyjnych, informacyjnych, szkoleniowych i edukacyjnych, dotyczących realizowanego projektu oraz zakupionych rzeczach, o ile ich wielkość i przeznaczenie tego nie uniemożliwia, proporcjonalnie do wielkości innych oznaczeń, w sposób zapewniający jego dobrą widoczność. Odpowiednie oznaczenia zostaną udostępnione Beneficjentowi przez Operatora.  </w:t>
      </w:r>
    </w:p>
    <w:p>
      <w:pPr>
        <w:pStyle w:val="ListParagraph"/>
        <w:numPr>
          <w:ilvl w:val="0"/>
          <w:numId w:val="11"/>
        </w:numPr>
        <w:rPr/>
      </w:pPr>
      <w:r>
        <w:rPr/>
        <w:t xml:space="preserve">Jakakolwiek zmiana przeznaczenia lub zbycie sprzętu, narzędzi nabytych ze środków mikrodotacji przed upływem 5 lat od dnia zakończenia projektu wymaga zgody Operatora. </w:t>
      </w:r>
    </w:p>
    <w:p>
      <w:pPr>
        <w:pStyle w:val="Normal"/>
        <w:numPr>
          <w:ilvl w:val="0"/>
          <w:numId w:val="11"/>
        </w:numPr>
        <w:ind w:hanging="427" w:start="374"/>
        <w:rPr/>
      </w:pPr>
      <w:r>
        <w:rPr/>
        <w:t xml:space="preserve">Z ważnych przyczyn Operator może wyrazić zgodę na zbycie rzeczy przed upływem terminu,  o którym mowa w ust. 3, pod warunkiem że Beneficjent zobowiąże się przeznaczyć środki pozyskane ze zbycia rzeczy na realizację celów statutowych. </w:t>
      </w:r>
    </w:p>
    <w:p>
      <w:pPr>
        <w:pStyle w:val="Normal"/>
        <w:numPr>
          <w:ilvl w:val="0"/>
          <w:numId w:val="11"/>
        </w:numPr>
        <w:ind w:hanging="427" w:start="374"/>
        <w:rPr/>
      </w:pPr>
      <w:r>
        <w:rPr/>
        <w:t xml:space="preserve">Beneficjent zobowiązuje się do zawierania porozumień wolontariackich zgodnie z obowiązującymi  w tym zakresie przepisami prawa, a także sporządzania dokumentów potwierdzających wykonanie pracy społecznej zaplanowanej w projekcie. Operator ma prawo wezwać Beneficjenta do przedstawienia wymienionych dokumentów w okresie 5 lat od początku roku następującego po roku, w którym realizowany był projekt, w celu potwierdzenia wykonania pracy społecznej. </w:t>
      </w:r>
    </w:p>
    <w:p>
      <w:pPr>
        <w:pStyle w:val="Normal"/>
        <w:numPr>
          <w:ilvl w:val="0"/>
          <w:numId w:val="11"/>
        </w:numPr>
        <w:ind w:hanging="427" w:start="374"/>
        <w:rPr/>
      </w:pPr>
      <w:r>
        <w:rPr/>
        <w:t xml:space="preserve">Beneficjent ponosi wyłączną odpowiedzialność za szkody wyrządzone wobec osób trzecich w związku z realizowanym przedsięwzięciem.  </w:t>
      </w:r>
    </w:p>
    <w:p>
      <w:pPr>
        <w:pStyle w:val="Normal"/>
        <w:numPr>
          <w:ilvl w:val="0"/>
          <w:numId w:val="11"/>
        </w:numPr>
        <w:ind w:hanging="427" w:start="374"/>
        <w:rPr/>
      </w:pPr>
      <w:r>
        <w:rPr/>
        <w:t xml:space="preserve">Beneficjent zobowiązuje się do informowania Operatora o wydarzeniach lokalnych związanych z realizacją projektu (np. seminaria, koncerty, festyny, etc.) minimum 7 dni przed ich przeprowadzeniem. </w:t>
      </w:r>
    </w:p>
    <w:p>
      <w:pPr>
        <w:pStyle w:val="Normal"/>
        <w:numPr>
          <w:ilvl w:val="0"/>
          <w:numId w:val="11"/>
        </w:numPr>
        <w:ind w:hanging="427" w:start="374"/>
        <w:rPr/>
      </w:pPr>
      <w:r>
        <w:rPr/>
        <w:t xml:space="preserve">Beneficjent zobowiązuje się sporządzać listy obecności z wydarzeń współfinansowanych/finansowanych ze środków pochodzących z </w:t>
      </w:r>
      <w:r>
        <w:rPr>
          <w:rFonts w:eastAsia="Times New Roman"/>
          <w:color w:val="auto"/>
          <w:kern w:val="0"/>
          <w:szCs w:val="20"/>
          <w14:ligatures w14:val="none"/>
        </w:rPr>
        <w:t>Rządowego Programu Wsparcia Organizacji Pozarządowych</w:t>
      </w:r>
      <w:r>
        <w:rPr>
          <w:rFonts w:eastAsia="Times New Roman"/>
          <w:color w:val="auto"/>
          <w:szCs w:val="20"/>
          <w14:ligatures w14:val="none"/>
        </w:rPr>
        <w:t xml:space="preserve"> </w:t>
      </w:r>
      <w:r>
        <w:rPr>
          <w:rFonts w:eastAsia="Times New Roman"/>
          <w:szCs w:val="20"/>
          <w14:ligatures w14:val="none"/>
        </w:rPr>
        <w:t xml:space="preserve">Moc Małych Społeczności </w:t>
      </w:r>
      <w:r>
        <w:rPr/>
        <w:t>(w tym warsztatów, szkoleń, zajęć itp.), przestrzegając obowiązujących w tym zakresie przepisów prawa</w:t>
      </w:r>
      <w:r>
        <w:rPr>
          <w:szCs w:val="20"/>
        </w:rPr>
        <w:t xml:space="preserve">. Minimalna udokumentowana ilość uczestników  nie może być mniejsza niż  </w:t>
      </w:r>
      <w:r>
        <w:rPr>
          <w:color w:val="000000"/>
          <w:szCs w:val="20"/>
        </w:rPr>
        <w:t xml:space="preserve"> 19 osób. Natomiast informacja o projekcie musi trafić do minimum 100 osób</w:t>
      </w:r>
      <w:r>
        <w:rPr>
          <w:i/>
          <w:color w:val="000000"/>
          <w:szCs w:val="20"/>
          <w:u w:val="single"/>
        </w:rPr>
        <w:t xml:space="preserve">. które </w:t>
      </w:r>
      <w:r>
        <w:rPr>
          <w:i/>
          <w:iCs/>
          <w:color w:val="000000"/>
          <w:szCs w:val="20"/>
          <w:u w:val="single"/>
        </w:rPr>
        <w:t>korzystają z jego rezultatów lub do których docierają informacje o projekcie</w:t>
      </w:r>
      <w:r>
        <w:rPr>
          <w:i/>
          <w:color w:val="000000"/>
          <w:szCs w:val="20"/>
          <w:u w:val="single"/>
        </w:rPr>
        <w:t xml:space="preserve"> za pośrednictwem mediów społecznościowych, stron internetowych czy lokalnych mediów, co należy udokumentować, np. statystyki, screeny, wydruki, itp.</w:t>
      </w:r>
      <w:r>
        <w:rPr>
          <w:szCs w:val="20"/>
        </w:rPr>
        <w:t xml:space="preserve"> Nieosiągnięcie  zakładanych rezultatów może skutkować uznaniem dotacji za wykorzystaną niezgodnie z przeznaczeniem na zasadach, o których mowa w ustawie z dnia 27 sierpnia 2009 r. o finansach publicznych.  Z obowiązku sporządzania list obecności zwolnione</w:t>
      </w:r>
      <w:r>
        <w:rPr/>
        <w:t xml:space="preserve"> są wydarzenia, w których uczestniczy więcej niż 50 osób (np. festyny, pikniki, konferencje). </w:t>
      </w:r>
    </w:p>
    <w:p>
      <w:pPr>
        <w:pStyle w:val="Normal"/>
        <w:numPr>
          <w:ilvl w:val="0"/>
          <w:numId w:val="11"/>
        </w:numPr>
        <w:ind w:hanging="427" w:start="374"/>
        <w:rPr>
          <w:color w:val="000000"/>
          <w:szCs w:val="20"/>
        </w:rPr>
      </w:pPr>
      <w:r>
        <w:rPr>
          <w:color w:val="000000"/>
          <w:szCs w:val="20"/>
        </w:rPr>
        <w:t xml:space="preserve">Beneficjent zobowiązuje się do  odbycia i ukończenia kursu na platformie e-lerningowej pt. Budowanie odporności społecznej na kryzysy, przez 2 członków z MIŚLOP. Dostęp do platformy edukacyjnej udostępni nieodpłatnie w ramach projektu Operator. </w:t>
      </w:r>
    </w:p>
    <w:p>
      <w:pPr>
        <w:pStyle w:val="Normal"/>
        <w:numPr>
          <w:ilvl w:val="0"/>
          <w:numId w:val="11"/>
        </w:numPr>
        <w:ind w:hanging="427" w:start="374"/>
        <w:rPr/>
      </w:pPr>
      <w:r>
        <w:rPr/>
        <w:t>Beneficjent zobowiązuje się prowadzić i przesyłać na wskazany przez Operatora adres poczty elektronicznej tj</w:t>
      </w:r>
      <w:r>
        <w:rPr>
          <w:color w:val="00B050"/>
        </w:rPr>
        <w:t xml:space="preserve">. </w:t>
      </w:r>
      <w:hyperlink r:id="rId2">
        <w:r>
          <w:rPr>
            <w:rStyle w:val="Hyperlink"/>
          </w:rPr>
          <w:t>mms@tlok.pl</w:t>
        </w:r>
      </w:hyperlink>
      <w:r>
        <w:rPr>
          <w:color w:val="00B050"/>
        </w:rPr>
        <w:t xml:space="preserve">  </w:t>
      </w:r>
      <w:r>
        <w:rPr/>
        <w:t xml:space="preserve">dokumentację zdjęciową, filmową lub audiowizualną z realizacji projektu wraz z pisemną zgodą autora na zamieszczanie materiałów w bezpłatnych publikacjach i artykułach dotyczących projektu „Inicjuj w małych społecznościach 2.0”, oraz umieszczenie na stronach internetowych. </w:t>
      </w:r>
    </w:p>
    <w:p>
      <w:pPr>
        <w:pStyle w:val="Normal"/>
        <w:numPr>
          <w:ilvl w:val="0"/>
          <w:numId w:val="11"/>
        </w:numPr>
        <w:ind w:hanging="427" w:start="374"/>
        <w:rPr/>
      </w:pPr>
      <w:r>
        <w:rPr/>
        <w:t xml:space="preserve">Beneficjent upoważnia Operatora oraz Instytucję Zarządzającą do rozpowszechniania w dowolnej formie, w prasie, radiu, telewizji, Internecie oraz innych publikacjach, nazwy oraz adresu Beneficjenta projektu, przedmiotu i celu, na który przyznano środki, informacji o wysokości przyznanych środków oraz informacji o złożeniu lub niezłożeniu sprawozdania z realizacji umowy.  </w:t>
      </w:r>
    </w:p>
    <w:p>
      <w:pPr>
        <w:pStyle w:val="Normal"/>
        <w:numPr>
          <w:ilvl w:val="0"/>
          <w:numId w:val="11"/>
        </w:numPr>
        <w:spacing w:before="0" w:after="2"/>
        <w:ind w:hanging="427" w:start="374"/>
        <w:rPr/>
      </w:pPr>
      <w:r>
        <w:rPr/>
        <w:t xml:space="preserve">Operator i Instytucja Zarządzająca są uprawnieni do bezpłatnego korzystania z rezultatów projektu, w szczególności z raportów, opracowań oraz innych materiałów wytworzonych przez Beneficjenta przy realizacji projektu. </w:t>
      </w:r>
    </w:p>
    <w:p>
      <w:pPr>
        <w:pStyle w:val="Normal"/>
        <w:spacing w:lineRule="auto" w:line="259" w:before="0" w:after="292"/>
        <w:ind w:hanging="0" w:start="14"/>
        <w:jc w:val="start"/>
        <w:rPr/>
      </w:pPr>
      <w:r>
        <w:rPr/>
        <w:t xml:space="preserve"> </w:t>
      </w:r>
    </w:p>
    <w:p>
      <w:pPr>
        <w:pStyle w:val="Heading1"/>
        <w:ind w:hanging="10" w:start="449" w:end="432"/>
        <w:rPr/>
      </w:pPr>
      <w:r>
        <w:rPr/>
        <w:t xml:space="preserve">§ 6 </w:t>
      </w:r>
    </w:p>
    <w:p>
      <w:pPr>
        <w:pStyle w:val="Normal"/>
        <w:numPr>
          <w:ilvl w:val="0"/>
          <w:numId w:val="6"/>
        </w:numPr>
        <w:ind w:hanging="427" w:start="427"/>
        <w:rPr/>
      </w:pPr>
      <w:r>
        <w:rPr/>
        <w:t xml:space="preserve">Operator oraz Instytucja Zarządzająca (NIW-CRSO) mają prawo w każdym czasie dokonywać - przez upoważnionego przedstawiciela –  monitoringu , mającego na celu kontrolę prawidłowości realizacji projektu i wydatkowania środków. Beneficjent jest zobowiązany umożliwić dokonanie monitoringu. W przypadku stwierdzenia nieprawidłowości w realizacji projektu organ monitorujący przekaże Beneficjentowi wnioski i zalecenia mające na celu ich usunięcie. Beneficjent jest zobowiązany  w terminie nie dłuższym niż 14 dni od dnia otrzymania ww. wniosków i zaleceń, do ich wykonania  i powiadomienia o sposobie ich wykonania organu przeprowadzającego monitoring.  </w:t>
      </w:r>
    </w:p>
    <w:p>
      <w:pPr>
        <w:pStyle w:val="Normal"/>
        <w:numPr>
          <w:ilvl w:val="0"/>
          <w:numId w:val="6"/>
        </w:numPr>
        <w:ind w:hanging="427" w:start="427"/>
        <w:rPr/>
      </w:pPr>
      <w:r>
        <w:rPr/>
        <w:t xml:space="preserve">W czasie trwania projektu oraz w ciągu 5 lat od początku roku następującego po roku, w którym Beneficjent realizował projekt będący przedmiotem niniejszej umowy, Operator i/lub inny upoważniony podmiot, w tym NIW-CRSO, może przeprowadzić kontrolę w celu zbadania, czy wydatki faktycznie były ponoszone i realizowane zgodnie z wnioskiem o dofinansowanie. Kontroli podlega także zadeklarowany wkład w postaci  świadczenia wolontariatu. </w:t>
      </w:r>
    </w:p>
    <w:p>
      <w:pPr>
        <w:pStyle w:val="Normal"/>
        <w:numPr>
          <w:ilvl w:val="0"/>
          <w:numId w:val="6"/>
        </w:numPr>
        <w:ind w:hanging="427" w:start="427"/>
        <w:rPr>
          <w:color w:val="auto"/>
        </w:rPr>
      </w:pPr>
      <w:r>
        <w:rPr>
          <w:color w:val="auto"/>
        </w:rPr>
        <w:t>Realizatorzy projektów są również zobowiązani do poddania się kontroli w zakresie realizacji zadania publicznego w zakresie opisanym w ust. 1, prowadzonej przez Kancelarię Prezesa Rady Ministrów w ramach której może zostać zobowiązany do przekazania dokumentacji, wyjaśnień oraz zagwarantowania prawa do wejścia na teren realizowania danego zadania ze środków dotacji.</w:t>
      </w:r>
    </w:p>
    <w:p>
      <w:pPr>
        <w:pStyle w:val="Normal"/>
        <w:numPr>
          <w:ilvl w:val="0"/>
          <w:numId w:val="6"/>
        </w:numPr>
        <w:ind w:hanging="427" w:start="427"/>
        <w:rPr/>
      </w:pPr>
      <w:r>
        <w:rPr/>
        <w:t>Uniemożliwienie przeprowadzenia takiej kontroli przez Operatorów projektu oznaczać będzie wykorzystanie przyznanej dotacji niezgodnie z przeznaczeniem.</w:t>
      </w:r>
    </w:p>
    <w:p>
      <w:pPr>
        <w:pStyle w:val="Normal"/>
        <w:numPr>
          <w:ilvl w:val="0"/>
          <w:numId w:val="6"/>
        </w:numPr>
        <w:ind w:hanging="427" w:start="427"/>
        <w:rPr/>
      </w:pPr>
      <w:r>
        <w:rPr/>
        <w:t xml:space="preserve">Prawo monitoringu i kontroli przysługuje osobom upoważnionym przez Operatora/Instytucję Zarządzającą zarówno w siedzibie Beneficjenta, jak i w miejscu realizacji projektu. </w:t>
      </w:r>
    </w:p>
    <w:p>
      <w:pPr>
        <w:pStyle w:val="Normal"/>
        <w:numPr>
          <w:ilvl w:val="0"/>
          <w:numId w:val="6"/>
        </w:numPr>
        <w:ind w:hanging="427" w:start="427"/>
        <w:rPr/>
      </w:pPr>
      <w:r>
        <w:rPr/>
        <w:t xml:space="preserve">Kontrola lub poszczególne jej czynności mogą być przeprowadzane również w siedzibie Operatora lub Instytucji Zarządzającej.  </w:t>
      </w:r>
    </w:p>
    <w:p>
      <w:pPr>
        <w:pStyle w:val="Normal"/>
        <w:numPr>
          <w:ilvl w:val="0"/>
          <w:numId w:val="6"/>
        </w:numPr>
        <w:ind w:hanging="427" w:start="427"/>
        <w:rPr/>
      </w:pPr>
      <w:r>
        <w:rPr/>
        <w:t xml:space="preserve">W ramach kontroli, o której mowa w ust. 2 i 3, osoby upoważnione przez Operatora i/lub Instytucję Zarządzającą mogą badać dokumenty i inne nośniki informacji, które mają lub mogą mieć znaczenie dla oceny prawidłowości wykonywania projektu, oraz żądać udzielenia ustnie lub na piśmie informacji dotyczących wykonania projektu. Beneficjent na żądanie kontrolującego zobowiązuje się dostarczyć lub udostępnić dokumenty i inne nośniki informacji oraz udzielić wyjaśnień i informacji w terminie określonym przez kontrolującego. </w:t>
      </w:r>
    </w:p>
    <w:p>
      <w:pPr>
        <w:pStyle w:val="Normal"/>
        <w:numPr>
          <w:ilvl w:val="0"/>
          <w:numId w:val="6"/>
        </w:numPr>
        <w:ind w:hanging="427" w:start="427"/>
        <w:rPr/>
      </w:pPr>
      <w:r>
        <w:rPr/>
        <w:t xml:space="preserve">Jeżeli na podstawie czynności kontrolnych przeprowadzonych przez uprawnione organy zostanie stwierdzone, że Beneficjent wykorzystał całość lub część przyznanych środków finansowych niezgodnie z przeznaczeniem, bez zachowania odpowiednich procedur lub pobrał całość lub część przyznanych środków finansowych w sposób nienależny albo w nadmiernej wysokości, zobowiązany jest on do zwrotu tych środków odpowiednio w całości lub w części, w terminie </w:t>
      </w:r>
      <w:r>
        <w:rPr>
          <w:b/>
        </w:rPr>
        <w:t>7 dni od wezwania do ich zwrotu</w:t>
      </w:r>
      <w:r>
        <w:rPr/>
        <w:t xml:space="preserve"> na rachunek Operatora. </w:t>
      </w:r>
    </w:p>
    <w:p>
      <w:pPr>
        <w:pStyle w:val="Normal"/>
        <w:numPr>
          <w:ilvl w:val="0"/>
          <w:numId w:val="6"/>
        </w:numPr>
        <w:ind w:hanging="427" w:start="427"/>
        <w:rPr/>
      </w:pPr>
      <w:r>
        <w:rPr/>
        <w:t xml:space="preserve">Beneficjent zobowiązany jest przechowywać dokumentację związaną z otrzymaną mikrodotacją przez okres 5 lat licząc od początku roku następującego po roku, w którym realizowany był projekt. W uzasadnionych przypadkach okres ten może ulec wydłużeniu jeżeli uwarunkowane jest to z uzasadnionym interesem Operatora związanym z realizacja projektu. </w:t>
      </w:r>
    </w:p>
    <w:p>
      <w:pPr>
        <w:pStyle w:val="Normal"/>
        <w:numPr>
          <w:ilvl w:val="0"/>
          <w:numId w:val="6"/>
        </w:numPr>
        <w:ind w:hanging="427" w:start="427"/>
        <w:rPr/>
      </w:pPr>
      <w:r>
        <w:rPr/>
        <w:t xml:space="preserve">Niedochowanie zobowiązania, o którym mowa </w:t>
      </w:r>
      <w:r>
        <w:rPr>
          <w:color w:val="000000"/>
        </w:rPr>
        <w:t>w ust. 8 niniejszego</w:t>
      </w:r>
      <w:r>
        <w:rPr>
          <w:color w:val="FF0000"/>
        </w:rPr>
        <w:t xml:space="preserve"> </w:t>
      </w:r>
      <w:r>
        <w:rPr/>
        <w:t xml:space="preserve">paragrafu oraz w § 4 ust. 1 uznaje się, w zależności od zakresu jego naruszenia, za niezrealizowanie części albo całości umowy i może skutkować wezwaniem do zwrotu otrzymanych środków finansowych.  </w:t>
      </w:r>
    </w:p>
    <w:p>
      <w:pPr>
        <w:pStyle w:val="Normal"/>
        <w:spacing w:lineRule="auto" w:line="259" w:before="0" w:after="0"/>
        <w:ind w:hanging="0" w:start="0" w:end="676"/>
        <w:jc w:val="end"/>
        <w:rPr/>
      </w:pPr>
      <w:r>
        <w:rPr>
          <w:rFonts w:eastAsia="Calibri" w:cs="Calibri" w:ascii="Calibri" w:hAnsi="Calibri"/>
          <w:color w:val="000000"/>
          <w:sz w:val="22"/>
        </w:rPr>
        <w:t xml:space="preserve"> </w:t>
      </w:r>
    </w:p>
    <w:p>
      <w:pPr>
        <w:pStyle w:val="Heading1"/>
        <w:ind w:hanging="10" w:start="449" w:end="432"/>
        <w:rPr/>
      </w:pPr>
      <w:r>
        <w:rPr/>
        <w:t xml:space="preserve">§ 7  </w:t>
      </w:r>
    </w:p>
    <w:p>
      <w:pPr>
        <w:pStyle w:val="Normal"/>
        <w:numPr>
          <w:ilvl w:val="0"/>
          <w:numId w:val="7"/>
        </w:numPr>
        <w:ind w:hanging="283" w:start="283" w:end="-7"/>
        <w:rPr/>
      </w:pPr>
      <w:r>
        <w:rPr/>
        <w:t xml:space="preserve">Zmiany okresu realizacji umowy wymagają aneksu w formie pisemnej, pod rygorem nieważności. </w:t>
      </w:r>
    </w:p>
    <w:p>
      <w:pPr>
        <w:pStyle w:val="Normal"/>
        <w:numPr>
          <w:ilvl w:val="0"/>
          <w:numId w:val="7"/>
        </w:numPr>
        <w:spacing w:before="0" w:after="26"/>
        <w:ind w:hanging="437" w:start="14" w:end="-7"/>
        <w:rPr/>
      </w:pPr>
      <w:r>
        <w:rPr>
          <w:color w:val="000000"/>
        </w:rPr>
        <w:t xml:space="preserve">Obowiązki i prawa wynikające z umowy nie mogą być w żadnym wypadku przenoszone na rzecz osoby trzeciej. </w:t>
      </w:r>
    </w:p>
    <w:p>
      <w:pPr>
        <w:pStyle w:val="Normal"/>
        <w:numPr>
          <w:ilvl w:val="0"/>
          <w:numId w:val="7"/>
        </w:numPr>
        <w:tabs>
          <w:tab w:val="clear" w:pos="708"/>
          <w:tab w:val="left" w:pos="709" w:leader="none"/>
        </w:tabs>
        <w:spacing w:before="0" w:after="26"/>
        <w:ind w:hanging="437" w:start="14" w:end="-7"/>
        <w:rPr/>
      </w:pPr>
      <w:r>
        <w:rPr/>
        <w:t xml:space="preserve">Po konsultacji z Operatorem istnieje możliwość przesunięć środków między pozycjami w obrębie danej kategorii budżetowej,  jeśli nie narusza to przyjętej kwoty całkowitej w tej kategorii. </w:t>
      </w:r>
    </w:p>
    <w:p>
      <w:pPr>
        <w:pStyle w:val="Normal"/>
        <w:numPr>
          <w:ilvl w:val="0"/>
          <w:numId w:val="7"/>
        </w:numPr>
        <w:tabs>
          <w:tab w:val="clear" w:pos="708"/>
          <w:tab w:val="left" w:pos="567" w:leader="none"/>
        </w:tabs>
        <w:spacing w:before="0" w:after="26"/>
        <w:ind w:hanging="709" w:start="709" w:end="-7"/>
        <w:rPr/>
      </w:pPr>
      <w:r>
        <w:rPr/>
        <w:t>W uzasadnionych przypadkach MIŚLOP może zawnioskować do Operatora o zgodę na przesunięcie środków między kategoriami, o ile nie narusza to limitów przewidzianych dla poszczególnych kategorii, wskazanych w regulaminie konkursu “Moc Małych Społeczności – Kujawsko-Pomorskie” w projekcie  „Inicjuj w małych społecznościach 2.0”.</w:t>
      </w:r>
    </w:p>
    <w:p>
      <w:pPr>
        <w:pStyle w:val="Heading1"/>
        <w:ind w:hanging="10" w:start="449" w:end="432"/>
        <w:rPr/>
      </w:pPr>
      <w:r>
        <w:rPr/>
        <w:t xml:space="preserve">§ 8 </w:t>
      </w:r>
    </w:p>
    <w:p>
      <w:pPr>
        <w:pStyle w:val="Normal"/>
        <w:numPr>
          <w:ilvl w:val="0"/>
          <w:numId w:val="8"/>
        </w:numPr>
        <w:spacing w:before="0" w:after="0"/>
        <w:ind w:hanging="283" w:start="283"/>
        <w:rPr>
          <w:color w:val="auto"/>
        </w:rPr>
      </w:pPr>
      <w:r>
        <w:rPr>
          <w:color w:val="auto"/>
        </w:rPr>
        <w:t>Umowa może być rozwiązana na mocy porozumienia Stron w przypadku wystąpienia okoliczności, za które Strony nie ponoszą odpowiedzialności, w tym w przypadku siły wyższej w rozumieniu ustawy z dnia 23 kwietnia 1964 r. – Kodeks cywilny (Dz. U. z 2025 r. poz. 1071 z późn. zm.), które uniemożliwiają wykonanie umowy.</w:t>
      </w:r>
    </w:p>
    <w:p>
      <w:pPr>
        <w:pStyle w:val="Normal"/>
        <w:numPr>
          <w:ilvl w:val="0"/>
          <w:numId w:val="8"/>
        </w:numPr>
        <w:spacing w:before="0" w:after="0"/>
        <w:ind w:hanging="283" w:start="283"/>
        <w:rPr>
          <w:color w:val="auto"/>
        </w:rPr>
      </w:pPr>
      <w:r>
        <w:rPr>
          <w:color w:val="auto"/>
        </w:rPr>
        <w:t>W przypadku rozwiązania umowy w trybie określonym w ust. 1 skutki finansowe i obowiązek zwrotu środków finansowych Strony określą w protokole.</w:t>
      </w:r>
    </w:p>
    <w:p>
      <w:pPr>
        <w:pStyle w:val="Normal"/>
        <w:numPr>
          <w:ilvl w:val="0"/>
          <w:numId w:val="8"/>
        </w:numPr>
        <w:spacing w:before="0" w:after="0"/>
        <w:ind w:hanging="283" w:start="283"/>
        <w:rPr/>
      </w:pPr>
      <w:r>
        <w:rPr/>
        <w:t xml:space="preserve"> </w:t>
      </w:r>
      <w:r>
        <w:rPr/>
        <w:t xml:space="preserve">Operator może wypowiedzieć umowę ze skutkiem natychmiastowym i bez wypłaty jakichkolwiek odszkodowań, gdy Beneficjent: </w:t>
      </w:r>
    </w:p>
    <w:p>
      <w:pPr>
        <w:pStyle w:val="ListParagraph"/>
        <w:numPr>
          <w:ilvl w:val="0"/>
          <w:numId w:val="10"/>
        </w:numPr>
        <w:spacing w:lineRule="auto" w:line="276"/>
        <w:ind w:hanging="142" w:start="284"/>
        <w:rPr>
          <w:szCs w:val="20"/>
        </w:rPr>
      </w:pPr>
      <w:r>
        <w:rPr>
          <w:szCs w:val="20"/>
        </w:rPr>
        <w:t>nie wypełni, bez podania uzasadnionej przyczyny, jednego ze swych zobowiązań i po otrzymaniu pisemnego upomnienia nadal ich nie wypełnienia lub nie przedstawi w wyznaczonym przez Operatora terminie stosownych wyjaśnień;</w:t>
      </w:r>
    </w:p>
    <w:p>
      <w:pPr>
        <w:pStyle w:val="ListParagraph"/>
        <w:numPr>
          <w:ilvl w:val="0"/>
          <w:numId w:val="10"/>
        </w:numPr>
        <w:spacing w:lineRule="auto" w:line="276"/>
        <w:ind w:hanging="142" w:start="284"/>
        <w:rPr>
          <w:szCs w:val="20"/>
        </w:rPr>
      </w:pPr>
      <w:r>
        <w:rPr>
          <w:szCs w:val="20"/>
        </w:rPr>
        <w:t>przedstawi fałszywe i/lub niepełne oświadczenia w celu uzyskania środków finansowych;</w:t>
      </w:r>
    </w:p>
    <w:p>
      <w:pPr>
        <w:pStyle w:val="Normal"/>
        <w:ind w:hanging="0" w:start="284"/>
        <w:rPr/>
      </w:pPr>
      <w:r>
        <w:rPr/>
        <w:t>dopuści się nieprawidłowości finansowych;</w:t>
      </w:r>
    </w:p>
    <w:p>
      <w:pPr>
        <w:pStyle w:val="Normal"/>
        <w:ind w:hanging="142" w:start="284"/>
        <w:rPr/>
      </w:pPr>
      <w:r>
        <w:rPr/>
        <w:t xml:space="preserve">- nie przestrzega postanowień Regulaminu konkursu „Moc Małych Społeczności – Kujawsko-Pomorskie” w projekcie „Inicjuj w małych społecznościach 2.0”, w tym uniemożliwia przeprowadzenie monitoringu lub kontroli Operatorowi lub Instytucji Zarządzającej i Kancelarii Prezesa Rady Ministrów, odmawia przedstawienia dokumentów księgowych oraz dokumentów potwierdzających świadczenie wolontariatu, związanych z projektem. </w:t>
      </w:r>
    </w:p>
    <w:p>
      <w:pPr>
        <w:pStyle w:val="Normal"/>
        <w:numPr>
          <w:ilvl w:val="0"/>
          <w:numId w:val="8"/>
        </w:numPr>
        <w:spacing w:before="0" w:after="198"/>
        <w:ind w:hanging="283" w:start="283"/>
        <w:rPr>
          <w:color w:val="auto"/>
        </w:rPr>
      </w:pPr>
      <w:r>
        <w:rPr>
          <w:color w:val="auto"/>
        </w:rPr>
        <w:t xml:space="preserve">W przypadku, gdy Beneficjent nie dokona w wyznaczonym terminie zwrotu środków, Operator podejmie czynności zmierzające do odzyskania należnych środków finansowych, z wykorzystaniem dostępnych środków prawnych. Koszty czynności zmierzających do odzyskania nieprawidłowo wykorzystanych środków finansowych obciążają w całości Beneficjenta. </w:t>
      </w:r>
    </w:p>
    <w:p>
      <w:pPr>
        <w:pStyle w:val="Normal"/>
        <w:spacing w:lineRule="auto" w:line="259" w:before="0" w:after="13"/>
        <w:ind w:hanging="0" w:start="14"/>
        <w:jc w:val="start"/>
        <w:rPr/>
      </w:pPr>
      <w:r>
        <w:rPr/>
        <w:t xml:space="preserve"> </w:t>
      </w:r>
    </w:p>
    <w:p>
      <w:pPr>
        <w:pStyle w:val="Normal"/>
        <w:spacing w:lineRule="auto" w:line="259" w:before="0" w:after="13"/>
        <w:ind w:hanging="0" w:start="14"/>
        <w:jc w:val="start"/>
        <w:rPr/>
      </w:pPr>
      <w:r>
        <w:rPr/>
      </w:r>
    </w:p>
    <w:p>
      <w:pPr>
        <w:pStyle w:val="Normal"/>
        <w:spacing w:lineRule="auto" w:line="259" w:before="0" w:after="13"/>
        <w:ind w:hanging="0" w:start="14"/>
        <w:jc w:val="start"/>
        <w:rPr/>
      </w:pPr>
      <w:r>
        <w:rPr/>
      </w:r>
    </w:p>
    <w:p>
      <w:pPr>
        <w:pStyle w:val="Heading1"/>
        <w:ind w:hanging="10" w:start="449" w:end="432"/>
        <w:rPr/>
      </w:pPr>
      <w:r>
        <w:rPr/>
        <w:t xml:space="preserve">§ 9 </w:t>
      </w:r>
    </w:p>
    <w:p>
      <w:pPr>
        <w:pStyle w:val="Normal"/>
        <w:numPr>
          <w:ilvl w:val="0"/>
          <w:numId w:val="9"/>
        </w:numPr>
        <w:spacing w:lineRule="auto" w:line="262" w:before="0" w:after="42"/>
        <w:ind w:hanging="283" w:start="283"/>
        <w:rPr/>
      </w:pPr>
      <w:r>
        <w:rPr/>
        <w:t xml:space="preserve">Postanowienia niniejszej umowy podlegają prawu polskiemu. </w:t>
      </w:r>
    </w:p>
    <w:p>
      <w:pPr>
        <w:pStyle w:val="Normal"/>
        <w:numPr>
          <w:ilvl w:val="0"/>
          <w:numId w:val="9"/>
        </w:numPr>
        <w:ind w:hanging="283" w:start="283"/>
        <w:rPr/>
      </w:pPr>
      <w:r>
        <w:rPr/>
        <w:t xml:space="preserve">Wszelkie spory związane z realizacją niniejszej umowy Strony w pierwszej kolejności rozstrzygać będą w sposób polubowny. W przypadku braku porozumienia spory podlegają rozstrzygnięciu przez sąd powszechny właściwy miejscowo dla siedziby Operatora. </w:t>
      </w:r>
    </w:p>
    <w:p>
      <w:pPr>
        <w:pStyle w:val="Normal"/>
        <w:numPr>
          <w:ilvl w:val="0"/>
          <w:numId w:val="9"/>
        </w:numPr>
        <w:ind w:hanging="283" w:start="283"/>
        <w:rPr/>
      </w:pPr>
      <w:r>
        <w:rPr/>
        <w:t xml:space="preserve">Umowę sporządzono w dwóch jednobrzmiących egzemplarzach, po jednym dla każdej ze stron. </w:t>
      </w:r>
    </w:p>
    <w:p>
      <w:pPr>
        <w:pStyle w:val="Normal"/>
        <w:spacing w:lineRule="auto" w:line="259" w:before="0" w:after="0"/>
        <w:ind w:hanging="0" w:start="0" w:end="676"/>
        <w:jc w:val="end"/>
        <w:rPr/>
      </w:pPr>
      <w:r>
        <w:rPr>
          <w:rFonts w:eastAsia="Calibri" w:cs="Calibri" w:ascii="Calibri" w:hAnsi="Calibri"/>
          <w:color w:val="000000"/>
          <w:sz w:val="22"/>
        </w:rPr>
        <w:t xml:space="preserve"> </w:t>
      </w:r>
    </w:p>
    <w:p>
      <w:pPr>
        <w:pStyle w:val="Heading1"/>
        <w:spacing w:before="0" w:after="0"/>
        <w:ind w:hanging="10" w:start="449" w:end="427"/>
        <w:rPr/>
      </w:pPr>
      <w:r>
        <w:rPr/>
        <w:t xml:space="preserve">§ 10 </w:t>
      </w:r>
    </w:p>
    <w:p>
      <w:pPr>
        <w:pStyle w:val="Normal"/>
        <w:spacing w:lineRule="auto" w:line="259" w:before="0" w:after="210"/>
        <w:ind w:hanging="0" w:start="14"/>
        <w:jc w:val="start"/>
        <w:rPr/>
      </w:pPr>
      <w:r>
        <w:rPr/>
        <w:t xml:space="preserve"> </w:t>
      </w:r>
    </w:p>
    <w:p>
      <w:pPr>
        <w:pStyle w:val="Normal"/>
        <w:spacing w:before="0" w:after="203"/>
        <w:ind w:hanging="297" w:start="297"/>
        <w:rPr>
          <w:color w:val="auto"/>
        </w:rPr>
      </w:pPr>
      <w:bookmarkStart w:id="0" w:name="_GoBack"/>
      <w:r>
        <w:rPr>
          <w:color w:val="auto"/>
        </w:rPr>
        <w:t>1. Realizatorzy projektu ponoszą wyłączną odpowiedzialność wobec osób trzecich za szkody powstałe w związku z realizacją zadania publicznego.</w:t>
      </w:r>
    </w:p>
    <w:p>
      <w:pPr>
        <w:pStyle w:val="Normal"/>
        <w:spacing w:before="0" w:after="203"/>
        <w:ind w:hanging="297" w:start="297"/>
        <w:rPr>
          <w:color w:val="auto"/>
        </w:rPr>
      </w:pPr>
      <w:r>
        <w:rPr>
          <w:color w:val="auto"/>
        </w:rPr>
        <w:t xml:space="preserve">2. W zakresie związanym z realizacją projektu, w tym z gromadzeniem, przetwarzaniem  i przekazywaniem danych osobowych, a także wprowadzaniem ich do systemów informatycznych, Beneficjent zobowiązuje się postępować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(Dz.Urz. UE L 119  z 04.05.2016, str.1), w tym w szczególności dopełniać obowiązków informacyjnych, a także odbierać stosowne oświadczenia o zgodzie na gromadzenie, przetwarzanie i przekazywanie danych osobowych od osób, których dane dotyczą.  </w:t>
      </w:r>
      <w:bookmarkEnd w:id="0"/>
    </w:p>
    <w:p>
      <w:pPr>
        <w:pStyle w:val="Heading1"/>
        <w:spacing w:before="0" w:after="253"/>
        <w:ind w:hanging="10" w:start="449" w:end="427"/>
        <w:rPr/>
      </w:pPr>
      <w:r>
        <w:rPr/>
        <w:t xml:space="preserve">§ 11 </w:t>
      </w:r>
    </w:p>
    <w:p>
      <w:pPr>
        <w:pStyle w:val="Normal"/>
        <w:spacing w:before="0" w:after="259"/>
        <w:ind w:hanging="0" w:start="441"/>
        <w:rPr/>
      </w:pPr>
      <w:r>
        <w:rPr/>
        <w:t xml:space="preserve">Następujące dokumenty są załącznikami do niniejszej umowy i stanowią jej integralną część: </w:t>
      </w:r>
    </w:p>
    <w:p>
      <w:pPr>
        <w:pStyle w:val="Normal"/>
        <w:tabs>
          <w:tab w:val="clear" w:pos="708"/>
          <w:tab w:val="center" w:pos="1110" w:leader="none"/>
          <w:tab w:val="center" w:pos="5156" w:leader="none"/>
        </w:tabs>
        <w:spacing w:before="0" w:after="290"/>
        <w:ind w:hanging="0" w:start="0"/>
        <w:jc w:val="start"/>
        <w:rPr/>
      </w:pPr>
      <w:r>
        <w:rPr>
          <w:rFonts w:eastAsia="Calibri" w:cs="Calibri" w:ascii="Calibri" w:hAnsi="Calibri"/>
          <w:color w:val="000000"/>
          <w:sz w:val="22"/>
        </w:rPr>
        <w:tab/>
      </w:r>
      <w:r>
        <w:rPr/>
        <w:t xml:space="preserve">Załącznik 1:  </w:t>
        <w:tab/>
        <w:t xml:space="preserve">Wniosek/kopia wniosku o otrzymanie mikrodotacji wraz z budżetem.  </w:t>
      </w:r>
    </w:p>
    <w:p>
      <w:pPr>
        <w:pStyle w:val="Normal"/>
        <w:spacing w:lineRule="auto" w:line="259" w:before="0" w:after="302"/>
        <w:ind w:hanging="0" w:start="580"/>
        <w:jc w:val="start"/>
        <w:rPr/>
      </w:pPr>
      <w:r>
        <w:rPr/>
        <w:t xml:space="preserve"> </w:t>
      </w:r>
    </w:p>
    <w:p>
      <w:pPr>
        <w:pStyle w:val="Normal"/>
        <w:tabs>
          <w:tab w:val="clear" w:pos="708"/>
          <w:tab w:val="center" w:pos="2136" w:leader="none"/>
          <w:tab w:val="center" w:pos="2847" w:leader="none"/>
          <w:tab w:val="center" w:pos="3553" w:leader="none"/>
          <w:tab w:val="center" w:pos="4263" w:leader="none"/>
          <w:tab w:val="center" w:pos="5798" w:leader="none"/>
        </w:tabs>
        <w:spacing w:lineRule="auto" w:line="259" w:before="0" w:after="276"/>
        <w:ind w:hanging="0" w:start="0"/>
        <w:jc w:val="start"/>
        <w:rPr/>
      </w:pPr>
      <w:r>
        <w:rPr>
          <w:b/>
        </w:rPr>
        <w:t xml:space="preserve">Beneficjent   </w:t>
        <w:tab/>
        <w:t xml:space="preserve"> </w:t>
        <w:tab/>
        <w:t xml:space="preserve"> </w:t>
        <w:tab/>
        <w:t xml:space="preserve"> </w:t>
        <w:tab/>
        <w:t xml:space="preserve"> </w:t>
        <w:tab/>
        <w:t xml:space="preserve">             Operator</w:t>
      </w:r>
      <w:r>
        <w:rPr/>
        <w:t xml:space="preserve"> </w:t>
      </w:r>
    </w:p>
    <w:p>
      <w:pPr>
        <w:pStyle w:val="Normal"/>
        <w:spacing w:lineRule="auto" w:line="552" w:before="0" w:after="42"/>
        <w:ind w:hanging="10" w:start="9" w:end="332"/>
        <w:jc w:val="start"/>
        <w:rPr/>
      </w:pPr>
      <w:r>
        <w:rPr/>
        <w:t xml:space="preserve">................................................................ </w:t>
        <w:tab/>
        <w:t xml:space="preserve"> </w:t>
        <w:tab/>
        <w:t xml:space="preserve">................................................................ </w:t>
      </w:r>
    </w:p>
    <w:p>
      <w:pPr>
        <w:pStyle w:val="Normal"/>
        <w:spacing w:lineRule="auto" w:line="552" w:before="0" w:after="42"/>
        <w:ind w:hanging="10" w:start="9" w:end="332"/>
        <w:jc w:val="start"/>
        <w:rPr>
          <w:color w:val="000000"/>
        </w:rPr>
      </w:pPr>
      <w:r>
        <w:rPr>
          <w:color w:val="000000"/>
        </w:rPr>
      </w:r>
    </w:p>
    <w:p>
      <w:pPr>
        <w:pStyle w:val="Normal"/>
        <w:spacing w:lineRule="auto" w:line="552" w:before="0" w:after="42"/>
        <w:ind w:hanging="10" w:start="9" w:end="332"/>
        <w:jc w:val="start"/>
        <w:rPr>
          <w:color w:val="000000"/>
        </w:rPr>
      </w:pPr>
      <w:r>
        <w:rPr>
          <w:color w:val="000000"/>
        </w:rPr>
        <w:t xml:space="preserve"> </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263" w:right="1401" w:gutter="0" w:header="708" w:top="3080" w:footer="704" w:bottom="141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Tahoma">
    <w:charset w:val="ee" w:characterSet="windows-1250"/>
    <w:family w:val="swiss"/>
    <w:pitch w:val="variable"/>
  </w:font>
  <w:font w:name="Arial">
    <w:charset w:val="ee" w:characterSet="windows-1250"/>
    <w:family w:val="swiss"/>
    <w:pitch w:val="variable"/>
  </w:font>
  <w:font w:name="Times New Roman">
    <w:charset w:val="ee" w:characterSet="windows-1250"/>
    <w:family w:val="roman"/>
    <w:pitch w:val="variable"/>
  </w:font>
  <w:font w:name="Wingdings">
    <w:charset w:val="02"/>
    <w:family w:val="roman"/>
    <w:pitch w:val="variable"/>
  </w:font>
  <w:font w:name="Courier New">
    <w:charset w:val="ee" w:characterSet="windows-1250"/>
    <w:family w:val="roman"/>
    <w:pitch w:val="variable"/>
  </w:font>
  <w:font w:name="Liberation Sans">
    <w:altName w:val="Arial"/>
    <w:charset w:val="ee" w:characterSet="windows-1250"/>
    <w:family w:val="swiss"/>
    <w:pitch w:val="variable"/>
  </w:font>
  <w:font w:name="Cambria">
    <w:charset w:val="ee" w:characterSet="windows-1250"/>
    <w:family w:val="roman"/>
    <w:pitch w:val="variable"/>
  </w:font>
  <w:font w:name="Open sans">
    <w:charset w:val="ee" w:characterSet="windows-1250"/>
    <w:family w:val="swiss"/>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hanging="0" w:start="5"/>
      <w:jc w:val="center"/>
      <w:rPr/>
    </w:pPr>
    <w:r>
      <w:rPr/>
      <w:fldChar w:fldCharType="begin"/>
    </w:r>
    <w:r>
      <w:rPr/>
      <w:instrText xml:space="preserve"> PAGE </w:instrText>
    </w:r>
    <w:r>
      <w:rPr/>
      <w:fldChar w:fldCharType="separate"/>
    </w:r>
    <w:r>
      <w:rPr/>
      <w:t>0</w:t>
    </w:r>
    <w:r>
      <w:rPr/>
      <w:fldChar w:fldCharType="end"/>
    </w:r>
    <w:r>
      <w:rPr>
        <w:rFonts w:eastAsia="Calibri" w:cs="Calibri" w:ascii="Calibri" w:hAnsi="Calibri"/>
        <w:color w:val="000000"/>
        <w:sz w:val="22"/>
      </w:rPr>
      <w:t xml:space="preserve"> </w:t>
    </w:r>
  </w:p>
  <w:p>
    <w:pPr>
      <w:pStyle w:val="Normal"/>
      <w:spacing w:lineRule="auto" w:line="259" w:before="0" w:after="0"/>
      <w:ind w:hanging="0" w:start="14"/>
      <w:jc w:val="start"/>
      <w:rPr/>
    </w:pPr>
    <w:r>
      <w:rPr>
        <w:rFonts w:eastAsia="Calibri" w:cs="Calibri" w:ascii="Calibri" w:hAnsi="Calibri"/>
        <w:color w:val="000000"/>
        <w:sz w:val="22"/>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hanging="0" w:start="5"/>
      <w:jc w:val="center"/>
      <w:rPr/>
    </w:pPr>
    <w:r>
      <w:rPr/>
      <w:fldChar w:fldCharType="begin"/>
    </w:r>
    <w:r>
      <w:rPr/>
      <w:instrText xml:space="preserve"> PAGE </w:instrText>
    </w:r>
    <w:r>
      <w:rPr/>
      <w:fldChar w:fldCharType="separate"/>
    </w:r>
    <w:r>
      <w:rPr/>
      <w:t>9</w:t>
    </w:r>
    <w:r>
      <w:rPr/>
      <w:fldChar w:fldCharType="end"/>
    </w:r>
    <w:r>
      <w:rPr>
        <w:rFonts w:eastAsia="Calibri" w:cs="Calibri" w:ascii="Calibri" w:hAnsi="Calibri"/>
        <w:color w:val="000000"/>
        <w:sz w:val="22"/>
      </w:rPr>
      <w:t xml:space="preserve"> </w:t>
    </w:r>
  </w:p>
  <w:p>
    <w:pPr>
      <w:pStyle w:val="Normal"/>
      <w:spacing w:lineRule="auto" w:line="259" w:before="0" w:after="0"/>
      <w:ind w:hanging="0" w:start="14"/>
      <w:jc w:val="start"/>
      <w:rPr/>
    </w:pPr>
    <w:r>
      <w:rPr>
        <w:rFonts w:eastAsia="Calibri" w:cs="Calibri" w:ascii="Calibri" w:hAnsi="Calibri"/>
        <w:color w:val="000000"/>
        <w:sz w:val="22"/>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hanging="0" w:start="5"/>
      <w:jc w:val="center"/>
      <w:rPr/>
    </w:pPr>
    <w:r>
      <w:rPr/>
      <w:fldChar w:fldCharType="begin"/>
    </w:r>
    <w:r>
      <w:rPr/>
      <w:instrText xml:space="preserve"> PAGE </w:instrText>
    </w:r>
    <w:r>
      <w:rPr/>
      <w:fldChar w:fldCharType="separate"/>
    </w:r>
    <w:r>
      <w:rPr/>
      <w:t>9</w:t>
    </w:r>
    <w:r>
      <w:rPr/>
      <w:fldChar w:fldCharType="end"/>
    </w:r>
    <w:r>
      <w:rPr>
        <w:rFonts w:eastAsia="Calibri" w:cs="Calibri" w:ascii="Calibri" w:hAnsi="Calibri"/>
        <w:color w:val="000000"/>
        <w:sz w:val="22"/>
      </w:rPr>
      <w:t xml:space="preserve"> </w:t>
    </w:r>
  </w:p>
  <w:p>
    <w:pPr>
      <w:pStyle w:val="Normal"/>
      <w:spacing w:lineRule="auto" w:line="259" w:before="0" w:after="0"/>
      <w:ind w:hanging="0" w:start="14"/>
      <w:jc w:val="start"/>
      <w:rPr/>
    </w:pPr>
    <w:r>
      <w:rPr>
        <w:rFonts w:eastAsia="Calibri" w:cs="Calibri" w:ascii="Calibri" w:hAnsi="Calibri"/>
        <w:color w:val="000000"/>
        <w:sz w:val="22"/>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1" w:before="0" w:after="29"/>
      <w:ind w:hanging="437" w:start="451"/>
      <w:jc w:val="both"/>
      <w:rPr/>
    </w:pPr>
    <w:r>
      <w:rPr/>
      <mc:AlternateContent>
        <mc:Choice Requires="wpg">
          <w:drawing>
            <wp:anchor distT="0" distB="0" distL="0" distR="0" simplePos="0" relativeHeight="12" behindDoc="1" locked="0" layoutInCell="0" allowOverlap="1" wp14:anchorId="4E7CBF64">
              <wp:simplePos x="0" y="0"/>
              <wp:positionH relativeFrom="page">
                <wp:posOffset>0</wp:posOffset>
              </wp:positionH>
              <wp:positionV relativeFrom="page">
                <wp:posOffset>0</wp:posOffset>
              </wp:positionV>
              <wp:extent cx="4942205" cy="2059305"/>
              <wp:effectExtent l="0" t="0" r="0" b="0"/>
              <wp:wrapNone/>
              <wp:docPr id="3" name="Group 8118"/>
              <a:graphic xmlns:a="http://schemas.openxmlformats.org/drawingml/2006/main">
                <a:graphicData uri="http://schemas.microsoft.com/office/word/2010/wordprocessingGroup">
                  <wpg:wgp>
                    <wpg:cNvGrpSpPr/>
                    <wpg:grpSpPr>
                      <a:xfrm>
                        <a:off x="0" y="0"/>
                        <a:ext cx="4942080" cy="2059200"/>
                        <a:chOff x="0" y="0"/>
                        <a:chExt cx="4942080" cy="2059200"/>
                      </a:xfrm>
                    </wpg:grpSpPr>
                    <pic:pic xmlns:pic="http://schemas.openxmlformats.org/drawingml/2006/picture">
                      <pic:nvPicPr>
                        <pic:cNvPr id="4" name="Picture 8119"/>
                        <pic:cNvPicPr/>
                      </pic:nvPicPr>
                      <pic:blipFill>
                        <a:blip r:embed="rId1"/>
                        <a:stretch/>
                      </pic:blipFill>
                      <pic:spPr>
                        <a:xfrm>
                          <a:off x="0" y="0"/>
                          <a:ext cx="4942080" cy="2059200"/>
                        </a:xfrm>
                        <a:prstGeom prst="rect">
                          <a:avLst/>
                        </a:prstGeom>
                        <a:noFill/>
                        <a:ln w="0">
                          <a:noFill/>
                        </a:ln>
                      </pic:spPr>
                    </pic:pic>
                  </wpg:wgp>
                </a:graphicData>
              </a:graphic>
            </wp:anchor>
          </w:drawing>
        </mc:Choice>
        <mc:Fallback>
          <w:pict>
            <v:group id="shape_0" alt="Group 8118" style="position:absolute;margin-left:0pt;margin-top:0pt;width:389.15pt;height:162.15pt" coordorigin="0,0" coordsize="7783,32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0;top:0;width:7782;height:3242;mso-wrap-style:none;v-text-anchor:middle;mso-position-horizontal-relative:page;mso-position-vertical-relative:page" type="_x0000_t75">
                <v:imagedata r:id="rId2" o:detectmouseclick="t"/>
                <v:stroke color="#3465a4" joinstyle="round" endcap="flat"/>
                <w10:wrap type="none"/>
              </v:shape>
            </v:group>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1" w:before="0" w:after="29"/>
      <w:ind w:hanging="437" w:start="451"/>
      <w:jc w:val="both"/>
      <w:rPr/>
    </w:pPr>
    <w:r>
      <w:rPr/>
      <w:drawing>
        <wp:inline distT="0" distB="0" distL="0" distR="0">
          <wp:extent cx="5847080" cy="2562860"/>
          <wp:effectExtent l="0" t="0" r="0" b="0"/>
          <wp:docPr id="5" name="Obraz 2" descr="Obraz zawierający tekst, wizytówka, Czcionk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2" descr="Obraz zawierający tekst, wizytówka, Czcionka, zrzut ekranu&#10;&#10;Zawartość wygenerowana przez AI może być niepoprawna."/>
                  <pic:cNvPicPr>
                    <a:picLocks noChangeAspect="1" noChangeArrowheads="1"/>
                  </pic:cNvPicPr>
                </pic:nvPicPr>
                <pic:blipFill>
                  <a:blip r:embed="rId1"/>
                  <a:stretch>
                    <a:fillRect/>
                  </a:stretch>
                </pic:blipFill>
                <pic:spPr bwMode="auto">
                  <a:xfrm>
                    <a:off x="0" y="0"/>
                    <a:ext cx="5847080" cy="2562860"/>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1" w:before="0" w:after="29"/>
      <w:ind w:hanging="437" w:start="451"/>
      <w:jc w:val="both"/>
      <w:rPr/>
    </w:pPr>
    <w:r>
      <w:rPr/>
      <w:drawing>
        <wp:inline distT="0" distB="0" distL="0" distR="0">
          <wp:extent cx="5847080" cy="2562860"/>
          <wp:effectExtent l="0" t="0" r="0" b="0"/>
          <wp:docPr id="6" name="Obraz 2" descr="Obraz zawierający tekst, wizytówka, Czcionk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2" descr="Obraz zawierający tekst, wizytówka, Czcionka, zrzut ekranu&#10;&#10;Zawartość wygenerowana przez AI może być niepoprawna."/>
                  <pic:cNvPicPr>
                    <a:picLocks noChangeAspect="1" noChangeArrowheads="1"/>
                  </pic:cNvPicPr>
                </pic:nvPicPr>
                <pic:blipFill>
                  <a:blip r:embed="rId1"/>
                  <a:stretch>
                    <a:fillRect/>
                  </a:stretch>
                </pic:blipFill>
                <pic:spPr bwMode="auto">
                  <a:xfrm>
                    <a:off x="0" y="0"/>
                    <a:ext cx="5847080" cy="2562860"/>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1">
      <w:start w:val="1"/>
      <w:numFmt w:val="lowerLetter"/>
      <w:lvlText w:val="%2"/>
      <w:lvlJc w:val="start"/>
      <w:pPr>
        <w:tabs>
          <w:tab w:val="num" w:pos="0"/>
        </w:tabs>
        <w:ind w:start="1083"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2">
      <w:start w:val="1"/>
      <w:numFmt w:val="lowerRoman"/>
      <w:lvlText w:val="%3"/>
      <w:lvlJc w:val="start"/>
      <w:pPr>
        <w:tabs>
          <w:tab w:val="num" w:pos="0"/>
        </w:tabs>
        <w:ind w:start="1803"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3">
      <w:start w:val="1"/>
      <w:numFmt w:val="decimal"/>
      <w:lvlText w:val="%4"/>
      <w:lvlJc w:val="start"/>
      <w:pPr>
        <w:tabs>
          <w:tab w:val="num" w:pos="0"/>
        </w:tabs>
        <w:ind w:start="2523"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4">
      <w:start w:val="1"/>
      <w:numFmt w:val="lowerLetter"/>
      <w:lvlText w:val="%5"/>
      <w:lvlJc w:val="start"/>
      <w:pPr>
        <w:tabs>
          <w:tab w:val="num" w:pos="0"/>
        </w:tabs>
        <w:ind w:start="3243"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5">
      <w:start w:val="1"/>
      <w:numFmt w:val="lowerRoman"/>
      <w:lvlText w:val="%6"/>
      <w:lvlJc w:val="start"/>
      <w:pPr>
        <w:tabs>
          <w:tab w:val="num" w:pos="0"/>
        </w:tabs>
        <w:ind w:start="3963"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6">
      <w:start w:val="1"/>
      <w:numFmt w:val="decimal"/>
      <w:lvlText w:val="%7"/>
      <w:lvlJc w:val="start"/>
      <w:pPr>
        <w:tabs>
          <w:tab w:val="num" w:pos="0"/>
        </w:tabs>
        <w:ind w:start="4683"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7">
      <w:start w:val="1"/>
      <w:numFmt w:val="lowerLetter"/>
      <w:lvlText w:val="%8"/>
      <w:lvlJc w:val="start"/>
      <w:pPr>
        <w:tabs>
          <w:tab w:val="num" w:pos="0"/>
        </w:tabs>
        <w:ind w:start="5403"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8">
      <w:start w:val="1"/>
      <w:numFmt w:val="lowerRoman"/>
      <w:lvlText w:val="%9"/>
      <w:lvlJc w:val="start"/>
      <w:pPr>
        <w:tabs>
          <w:tab w:val="num" w:pos="0"/>
        </w:tabs>
        <w:ind w:start="6123"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abstractNum>
  <w:abstractNum w:abstractNumId="2">
    <w:lvl w:ilvl="0">
      <w:start w:val="1"/>
      <w:numFmt w:val="decimal"/>
      <w:lvlText w:val="%1."/>
      <w:lvlJc w:val="start"/>
      <w:pPr>
        <w:tabs>
          <w:tab w:val="num" w:pos="0"/>
        </w:tabs>
        <w:ind w:start="36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1">
      <w:start w:val="1"/>
      <w:numFmt w:val="lowerLetter"/>
      <w:lvlText w:val="%2"/>
      <w:lvlJc w:val="start"/>
      <w:pPr>
        <w:tabs>
          <w:tab w:val="num" w:pos="0"/>
        </w:tabs>
        <w:ind w:start="108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2">
      <w:start w:val="1"/>
      <w:numFmt w:val="lowerRoman"/>
      <w:lvlText w:val="%3"/>
      <w:lvlJc w:val="start"/>
      <w:pPr>
        <w:tabs>
          <w:tab w:val="num" w:pos="0"/>
        </w:tabs>
        <w:ind w:start="180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3">
      <w:start w:val="1"/>
      <w:numFmt w:val="decimal"/>
      <w:lvlText w:val="%4"/>
      <w:lvlJc w:val="start"/>
      <w:pPr>
        <w:tabs>
          <w:tab w:val="num" w:pos="0"/>
        </w:tabs>
        <w:ind w:start="252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4">
      <w:start w:val="1"/>
      <w:numFmt w:val="lowerLetter"/>
      <w:lvlText w:val="%5"/>
      <w:lvlJc w:val="start"/>
      <w:pPr>
        <w:tabs>
          <w:tab w:val="num" w:pos="0"/>
        </w:tabs>
        <w:ind w:start="324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5">
      <w:start w:val="1"/>
      <w:numFmt w:val="lowerRoman"/>
      <w:lvlText w:val="%6"/>
      <w:lvlJc w:val="start"/>
      <w:pPr>
        <w:tabs>
          <w:tab w:val="num" w:pos="0"/>
        </w:tabs>
        <w:ind w:start="396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6">
      <w:start w:val="1"/>
      <w:numFmt w:val="decimal"/>
      <w:lvlText w:val="%7"/>
      <w:lvlJc w:val="start"/>
      <w:pPr>
        <w:tabs>
          <w:tab w:val="num" w:pos="0"/>
        </w:tabs>
        <w:ind w:start="468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7">
      <w:start w:val="1"/>
      <w:numFmt w:val="lowerLetter"/>
      <w:lvlText w:val="%8"/>
      <w:lvlJc w:val="start"/>
      <w:pPr>
        <w:tabs>
          <w:tab w:val="num" w:pos="0"/>
        </w:tabs>
        <w:ind w:start="540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8">
      <w:start w:val="1"/>
      <w:numFmt w:val="lowerRoman"/>
      <w:lvlText w:val="%9"/>
      <w:lvlJc w:val="start"/>
      <w:pPr>
        <w:tabs>
          <w:tab w:val="num" w:pos="0"/>
        </w:tabs>
        <w:ind w:start="612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abstractNum>
  <w:abstractNum w:abstractNumId="3">
    <w:lvl w:ilvl="0">
      <w:start w:val="1"/>
      <w:numFmt w:val="decimal"/>
      <w:lvlText w:val="%1."/>
      <w:lvlJc w:val="start"/>
      <w:pPr>
        <w:tabs>
          <w:tab w:val="num" w:pos="0"/>
        </w:tabs>
        <w:ind w:start="283"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1">
      <w:start w:val="1"/>
      <w:numFmt w:val="lowerLetter"/>
      <w:lvlText w:val="%2"/>
      <w:lvlJc w:val="start"/>
      <w:pPr>
        <w:tabs>
          <w:tab w:val="num" w:pos="0"/>
        </w:tabs>
        <w:ind w:start="108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2">
      <w:start w:val="1"/>
      <w:numFmt w:val="lowerRoman"/>
      <w:lvlText w:val="%3"/>
      <w:lvlJc w:val="start"/>
      <w:pPr>
        <w:tabs>
          <w:tab w:val="num" w:pos="0"/>
        </w:tabs>
        <w:ind w:start="180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3">
      <w:start w:val="1"/>
      <w:numFmt w:val="decimal"/>
      <w:lvlText w:val="%4"/>
      <w:lvlJc w:val="start"/>
      <w:pPr>
        <w:tabs>
          <w:tab w:val="num" w:pos="0"/>
        </w:tabs>
        <w:ind w:start="252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4">
      <w:start w:val="1"/>
      <w:numFmt w:val="lowerLetter"/>
      <w:lvlText w:val="%5"/>
      <w:lvlJc w:val="start"/>
      <w:pPr>
        <w:tabs>
          <w:tab w:val="num" w:pos="0"/>
        </w:tabs>
        <w:ind w:start="324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5">
      <w:start w:val="1"/>
      <w:numFmt w:val="lowerRoman"/>
      <w:lvlText w:val="%6"/>
      <w:lvlJc w:val="start"/>
      <w:pPr>
        <w:tabs>
          <w:tab w:val="num" w:pos="0"/>
        </w:tabs>
        <w:ind w:start="396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6">
      <w:start w:val="1"/>
      <w:numFmt w:val="decimal"/>
      <w:lvlText w:val="%7"/>
      <w:lvlJc w:val="start"/>
      <w:pPr>
        <w:tabs>
          <w:tab w:val="num" w:pos="0"/>
        </w:tabs>
        <w:ind w:start="468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7">
      <w:start w:val="1"/>
      <w:numFmt w:val="lowerLetter"/>
      <w:lvlText w:val="%8"/>
      <w:lvlJc w:val="start"/>
      <w:pPr>
        <w:tabs>
          <w:tab w:val="num" w:pos="0"/>
        </w:tabs>
        <w:ind w:start="540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8">
      <w:start w:val="1"/>
      <w:numFmt w:val="lowerRoman"/>
      <w:lvlText w:val="%9"/>
      <w:lvlJc w:val="start"/>
      <w:pPr>
        <w:tabs>
          <w:tab w:val="num" w:pos="0"/>
        </w:tabs>
        <w:ind w:start="612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abstractNum>
  <w:abstractNum w:abstractNumId="4">
    <w:lvl w:ilvl="0">
      <w:start w:val="1"/>
      <w:numFmt w:val="decimal"/>
      <w:lvlText w:val="%1."/>
      <w:lvlJc w:val="start"/>
      <w:pPr>
        <w:tabs>
          <w:tab w:val="num" w:pos="0"/>
        </w:tabs>
        <w:ind w:start="427"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1">
      <w:start w:val="1"/>
      <w:numFmt w:val="lowerLetter"/>
      <w:lvlText w:val="%2"/>
      <w:lvlJc w:val="start"/>
      <w:pPr>
        <w:tabs>
          <w:tab w:val="num" w:pos="0"/>
        </w:tabs>
        <w:ind w:start="108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2">
      <w:start w:val="1"/>
      <w:numFmt w:val="lowerRoman"/>
      <w:lvlText w:val="%3"/>
      <w:lvlJc w:val="start"/>
      <w:pPr>
        <w:tabs>
          <w:tab w:val="num" w:pos="0"/>
        </w:tabs>
        <w:ind w:start="180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3">
      <w:start w:val="1"/>
      <w:numFmt w:val="decimal"/>
      <w:lvlText w:val="%4"/>
      <w:lvlJc w:val="start"/>
      <w:pPr>
        <w:tabs>
          <w:tab w:val="num" w:pos="0"/>
        </w:tabs>
        <w:ind w:start="252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4">
      <w:start w:val="1"/>
      <w:numFmt w:val="lowerLetter"/>
      <w:lvlText w:val="%5"/>
      <w:lvlJc w:val="start"/>
      <w:pPr>
        <w:tabs>
          <w:tab w:val="num" w:pos="0"/>
        </w:tabs>
        <w:ind w:start="324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5">
      <w:start w:val="1"/>
      <w:numFmt w:val="lowerRoman"/>
      <w:lvlText w:val="%6"/>
      <w:lvlJc w:val="start"/>
      <w:pPr>
        <w:tabs>
          <w:tab w:val="num" w:pos="0"/>
        </w:tabs>
        <w:ind w:start="396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6">
      <w:start w:val="1"/>
      <w:numFmt w:val="decimal"/>
      <w:lvlText w:val="%7"/>
      <w:lvlJc w:val="start"/>
      <w:pPr>
        <w:tabs>
          <w:tab w:val="num" w:pos="0"/>
        </w:tabs>
        <w:ind w:start="468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7">
      <w:start w:val="1"/>
      <w:numFmt w:val="lowerLetter"/>
      <w:lvlText w:val="%8"/>
      <w:lvlJc w:val="start"/>
      <w:pPr>
        <w:tabs>
          <w:tab w:val="num" w:pos="0"/>
        </w:tabs>
        <w:ind w:start="540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8">
      <w:start w:val="1"/>
      <w:numFmt w:val="lowerRoman"/>
      <w:lvlText w:val="%9"/>
      <w:lvlJc w:val="start"/>
      <w:pPr>
        <w:tabs>
          <w:tab w:val="num" w:pos="0"/>
        </w:tabs>
        <w:ind w:start="612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abstractNum>
  <w:abstractNum w:abstractNumId="5">
    <w:lvl w:ilvl="0">
      <w:start w:val="1"/>
      <w:numFmt w:val="bullet"/>
      <w:lvlText w:val="-"/>
      <w:lvlJc w:val="start"/>
      <w:pPr>
        <w:tabs>
          <w:tab w:val="num" w:pos="0"/>
        </w:tabs>
        <w:ind w:start="110" w:hanging="0"/>
      </w:pPr>
      <w:rPr>
        <w:rFonts w:ascii="Calibri" w:hAnsi="Calibri" w:cs="Calibri" w:hint="default"/>
        <w:b w:val="false"/>
        <w:i w:val="false"/>
        <w:strike w:val="false"/>
        <w:dstrike w:val="false"/>
        <w:color w:val="000000"/>
        <w:position w:val="0"/>
        <w:sz w:val="20"/>
        <w:szCs w:val="20"/>
        <w:u w:val="none" w:color="000000"/>
        <w:shd w:fill="auto" w:val="clear"/>
        <w:vertAlign w:val="baseline"/>
      </w:rPr>
    </w:lvl>
    <w:lvl w:ilvl="1">
      <w:start w:val="1"/>
      <w:numFmt w:val="bullet"/>
      <w:lvlText w:val="o"/>
      <w:lvlJc w:val="start"/>
      <w:pPr>
        <w:tabs>
          <w:tab w:val="num" w:pos="0"/>
        </w:tabs>
        <w:ind w:start="1080" w:hanging="0"/>
      </w:pPr>
      <w:rPr>
        <w:rFonts w:ascii="Calibri" w:hAnsi="Calibri" w:cs="Calibri" w:hint="default"/>
        <w:b w:val="false"/>
        <w:i w:val="false"/>
        <w:strike w:val="false"/>
        <w:dstrike w:val="false"/>
        <w:color w:val="000000"/>
        <w:position w:val="0"/>
        <w:sz w:val="20"/>
        <w:szCs w:val="20"/>
        <w:u w:val="none" w:color="000000"/>
        <w:shd w:fill="auto" w:val="clear"/>
        <w:vertAlign w:val="baseline"/>
      </w:rPr>
    </w:lvl>
    <w:lvl w:ilvl="2">
      <w:start w:val="1"/>
      <w:numFmt w:val="bullet"/>
      <w:lvlText w:val="▪"/>
      <w:lvlJc w:val="start"/>
      <w:pPr>
        <w:tabs>
          <w:tab w:val="num" w:pos="0"/>
        </w:tabs>
        <w:ind w:start="1800" w:hanging="0"/>
      </w:pPr>
      <w:rPr>
        <w:rFonts w:ascii="Calibri" w:hAnsi="Calibri" w:cs="Calibri" w:hint="default"/>
        <w:b w:val="false"/>
        <w:i w:val="false"/>
        <w:strike w:val="false"/>
        <w:dstrike w:val="false"/>
        <w:color w:val="000000"/>
        <w:position w:val="0"/>
        <w:sz w:val="20"/>
        <w:szCs w:val="20"/>
        <w:u w:val="none" w:color="000000"/>
        <w:shd w:fill="auto" w:val="clear"/>
        <w:vertAlign w:val="baseline"/>
      </w:rPr>
    </w:lvl>
    <w:lvl w:ilvl="3">
      <w:start w:val="1"/>
      <w:numFmt w:val="bullet"/>
      <w:lvlText w:val="•"/>
      <w:lvlJc w:val="start"/>
      <w:pPr>
        <w:tabs>
          <w:tab w:val="num" w:pos="0"/>
        </w:tabs>
        <w:ind w:start="2520" w:hanging="0"/>
      </w:pPr>
      <w:rPr>
        <w:rFonts w:ascii="Calibri" w:hAnsi="Calibri" w:cs="Calibri" w:hint="default"/>
        <w:b w:val="false"/>
        <w:i w:val="false"/>
        <w:strike w:val="false"/>
        <w:dstrike w:val="false"/>
        <w:color w:val="000000"/>
        <w:position w:val="0"/>
        <w:sz w:val="20"/>
        <w:szCs w:val="20"/>
        <w:u w:val="none" w:color="000000"/>
        <w:shd w:fill="auto" w:val="clear"/>
        <w:vertAlign w:val="baseline"/>
      </w:rPr>
    </w:lvl>
    <w:lvl w:ilvl="4">
      <w:start w:val="1"/>
      <w:numFmt w:val="bullet"/>
      <w:lvlText w:val="o"/>
      <w:lvlJc w:val="start"/>
      <w:pPr>
        <w:tabs>
          <w:tab w:val="num" w:pos="0"/>
        </w:tabs>
        <w:ind w:start="3240" w:hanging="0"/>
      </w:pPr>
      <w:rPr>
        <w:rFonts w:ascii="Calibri" w:hAnsi="Calibri" w:cs="Calibri" w:hint="default"/>
        <w:b w:val="false"/>
        <w:i w:val="false"/>
        <w:strike w:val="false"/>
        <w:dstrike w:val="false"/>
        <w:color w:val="000000"/>
        <w:position w:val="0"/>
        <w:sz w:val="20"/>
        <w:szCs w:val="20"/>
        <w:u w:val="none" w:color="000000"/>
        <w:shd w:fill="auto" w:val="clear"/>
        <w:vertAlign w:val="baseline"/>
      </w:rPr>
    </w:lvl>
    <w:lvl w:ilvl="5">
      <w:start w:val="1"/>
      <w:numFmt w:val="bullet"/>
      <w:lvlText w:val="▪"/>
      <w:lvlJc w:val="start"/>
      <w:pPr>
        <w:tabs>
          <w:tab w:val="num" w:pos="0"/>
        </w:tabs>
        <w:ind w:start="3960" w:hanging="0"/>
      </w:pPr>
      <w:rPr>
        <w:rFonts w:ascii="Calibri" w:hAnsi="Calibri" w:cs="Calibri" w:hint="default"/>
        <w:b w:val="false"/>
        <w:i w:val="false"/>
        <w:strike w:val="false"/>
        <w:dstrike w:val="false"/>
        <w:color w:val="000000"/>
        <w:position w:val="0"/>
        <w:sz w:val="20"/>
        <w:szCs w:val="20"/>
        <w:u w:val="none" w:color="000000"/>
        <w:shd w:fill="auto" w:val="clear"/>
        <w:vertAlign w:val="baseline"/>
      </w:rPr>
    </w:lvl>
    <w:lvl w:ilvl="6">
      <w:start w:val="1"/>
      <w:numFmt w:val="bullet"/>
      <w:lvlText w:val="•"/>
      <w:lvlJc w:val="start"/>
      <w:pPr>
        <w:tabs>
          <w:tab w:val="num" w:pos="0"/>
        </w:tabs>
        <w:ind w:start="4680" w:hanging="0"/>
      </w:pPr>
      <w:rPr>
        <w:rFonts w:ascii="Calibri" w:hAnsi="Calibri" w:cs="Calibri" w:hint="default"/>
        <w:b w:val="false"/>
        <w:i w:val="false"/>
        <w:strike w:val="false"/>
        <w:dstrike w:val="false"/>
        <w:color w:val="000000"/>
        <w:position w:val="0"/>
        <w:sz w:val="20"/>
        <w:szCs w:val="20"/>
        <w:u w:val="none" w:color="000000"/>
        <w:shd w:fill="auto" w:val="clear"/>
        <w:vertAlign w:val="baseline"/>
      </w:rPr>
    </w:lvl>
    <w:lvl w:ilvl="7">
      <w:start w:val="1"/>
      <w:numFmt w:val="bullet"/>
      <w:lvlText w:val="o"/>
      <w:lvlJc w:val="start"/>
      <w:pPr>
        <w:tabs>
          <w:tab w:val="num" w:pos="0"/>
        </w:tabs>
        <w:ind w:start="5400" w:hanging="0"/>
      </w:pPr>
      <w:rPr>
        <w:rFonts w:ascii="Calibri" w:hAnsi="Calibri" w:cs="Calibri" w:hint="default"/>
        <w:b w:val="false"/>
        <w:i w:val="false"/>
        <w:strike w:val="false"/>
        <w:dstrike w:val="false"/>
        <w:color w:val="000000"/>
        <w:position w:val="0"/>
        <w:sz w:val="20"/>
        <w:szCs w:val="20"/>
        <w:u w:val="none" w:color="000000"/>
        <w:shd w:fill="auto" w:val="clear"/>
        <w:vertAlign w:val="baseline"/>
      </w:rPr>
    </w:lvl>
    <w:lvl w:ilvl="8">
      <w:start w:val="1"/>
      <w:numFmt w:val="bullet"/>
      <w:lvlText w:val="▪"/>
      <w:lvlJc w:val="start"/>
      <w:pPr>
        <w:tabs>
          <w:tab w:val="num" w:pos="0"/>
        </w:tabs>
        <w:ind w:start="6120" w:hanging="0"/>
      </w:pPr>
      <w:rPr>
        <w:rFonts w:ascii="Calibri" w:hAnsi="Calibri" w:cs="Calibri" w:hint="default"/>
        <w:b w:val="false"/>
        <w:i w:val="false"/>
        <w:strike w:val="false"/>
        <w:dstrike w:val="false"/>
        <w:color w:val="000000"/>
        <w:position w:val="0"/>
        <w:sz w:val="20"/>
        <w:szCs w:val="20"/>
        <w:u w:val="none" w:color="000000"/>
        <w:shd w:fill="auto" w:val="clear"/>
        <w:vertAlign w:val="baseline"/>
      </w:rPr>
    </w:lvl>
  </w:abstractNum>
  <w:abstractNum w:abstractNumId="6">
    <w:lvl w:ilvl="0">
      <w:start w:val="1"/>
      <w:numFmt w:val="decimal"/>
      <w:lvlText w:val="%1."/>
      <w:lvlJc w:val="start"/>
      <w:pPr>
        <w:tabs>
          <w:tab w:val="num" w:pos="0"/>
        </w:tabs>
        <w:ind w:start="427"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1">
      <w:start w:val="1"/>
      <w:numFmt w:val="lowerLetter"/>
      <w:lvlText w:val="%2"/>
      <w:lvlJc w:val="start"/>
      <w:pPr>
        <w:tabs>
          <w:tab w:val="num" w:pos="0"/>
        </w:tabs>
        <w:ind w:start="108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2">
      <w:start w:val="1"/>
      <w:numFmt w:val="lowerRoman"/>
      <w:lvlText w:val="%3"/>
      <w:lvlJc w:val="start"/>
      <w:pPr>
        <w:tabs>
          <w:tab w:val="num" w:pos="0"/>
        </w:tabs>
        <w:ind w:start="180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3">
      <w:start w:val="1"/>
      <w:numFmt w:val="decimal"/>
      <w:lvlText w:val="%4"/>
      <w:lvlJc w:val="start"/>
      <w:pPr>
        <w:tabs>
          <w:tab w:val="num" w:pos="0"/>
        </w:tabs>
        <w:ind w:start="252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4">
      <w:start w:val="1"/>
      <w:numFmt w:val="lowerLetter"/>
      <w:lvlText w:val="%5"/>
      <w:lvlJc w:val="start"/>
      <w:pPr>
        <w:tabs>
          <w:tab w:val="num" w:pos="0"/>
        </w:tabs>
        <w:ind w:start="324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5">
      <w:start w:val="1"/>
      <w:numFmt w:val="lowerRoman"/>
      <w:lvlText w:val="%6"/>
      <w:lvlJc w:val="start"/>
      <w:pPr>
        <w:tabs>
          <w:tab w:val="num" w:pos="0"/>
        </w:tabs>
        <w:ind w:start="396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6">
      <w:start w:val="1"/>
      <w:numFmt w:val="decimal"/>
      <w:lvlText w:val="%7"/>
      <w:lvlJc w:val="start"/>
      <w:pPr>
        <w:tabs>
          <w:tab w:val="num" w:pos="0"/>
        </w:tabs>
        <w:ind w:start="468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7">
      <w:start w:val="1"/>
      <w:numFmt w:val="lowerLetter"/>
      <w:lvlText w:val="%8"/>
      <w:lvlJc w:val="start"/>
      <w:pPr>
        <w:tabs>
          <w:tab w:val="num" w:pos="0"/>
        </w:tabs>
        <w:ind w:start="540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8">
      <w:start w:val="1"/>
      <w:numFmt w:val="lowerRoman"/>
      <w:lvlText w:val="%9"/>
      <w:lvlJc w:val="start"/>
      <w:pPr>
        <w:tabs>
          <w:tab w:val="num" w:pos="0"/>
        </w:tabs>
        <w:ind w:start="612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abstractNum>
  <w:abstractNum w:abstractNumId="7">
    <w:lvl w:ilvl="0">
      <w:start w:val="1"/>
      <w:numFmt w:val="decimal"/>
      <w:lvlText w:val="%1."/>
      <w:lvlJc w:val="start"/>
      <w:pPr>
        <w:tabs>
          <w:tab w:val="num" w:pos="0"/>
        </w:tabs>
        <w:ind w:start="283"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1">
      <w:start w:val="1"/>
      <w:numFmt w:val="lowerLetter"/>
      <w:lvlText w:val="%2"/>
      <w:lvlJc w:val="start"/>
      <w:pPr>
        <w:tabs>
          <w:tab w:val="num" w:pos="0"/>
        </w:tabs>
        <w:ind w:start="108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2">
      <w:start w:val="1"/>
      <w:numFmt w:val="lowerRoman"/>
      <w:lvlText w:val="%3"/>
      <w:lvlJc w:val="start"/>
      <w:pPr>
        <w:tabs>
          <w:tab w:val="num" w:pos="0"/>
        </w:tabs>
        <w:ind w:start="180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3">
      <w:start w:val="1"/>
      <w:numFmt w:val="decimal"/>
      <w:lvlText w:val="%4"/>
      <w:lvlJc w:val="start"/>
      <w:pPr>
        <w:tabs>
          <w:tab w:val="num" w:pos="0"/>
        </w:tabs>
        <w:ind w:start="252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4">
      <w:start w:val="1"/>
      <w:numFmt w:val="lowerLetter"/>
      <w:lvlText w:val="%5"/>
      <w:lvlJc w:val="start"/>
      <w:pPr>
        <w:tabs>
          <w:tab w:val="num" w:pos="0"/>
        </w:tabs>
        <w:ind w:start="324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5">
      <w:start w:val="1"/>
      <w:numFmt w:val="lowerRoman"/>
      <w:lvlText w:val="%6"/>
      <w:lvlJc w:val="start"/>
      <w:pPr>
        <w:tabs>
          <w:tab w:val="num" w:pos="0"/>
        </w:tabs>
        <w:ind w:start="396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6">
      <w:start w:val="1"/>
      <w:numFmt w:val="decimal"/>
      <w:lvlText w:val="%7"/>
      <w:lvlJc w:val="start"/>
      <w:pPr>
        <w:tabs>
          <w:tab w:val="num" w:pos="0"/>
        </w:tabs>
        <w:ind w:start="468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7">
      <w:start w:val="1"/>
      <w:numFmt w:val="lowerLetter"/>
      <w:lvlText w:val="%8"/>
      <w:lvlJc w:val="start"/>
      <w:pPr>
        <w:tabs>
          <w:tab w:val="num" w:pos="0"/>
        </w:tabs>
        <w:ind w:start="540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8">
      <w:start w:val="1"/>
      <w:numFmt w:val="lowerRoman"/>
      <w:lvlText w:val="%9"/>
      <w:lvlJc w:val="start"/>
      <w:pPr>
        <w:tabs>
          <w:tab w:val="num" w:pos="0"/>
        </w:tabs>
        <w:ind w:start="612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abstractNum>
  <w:abstractNum w:abstractNumId="8">
    <w:lvl w:ilvl="0">
      <w:start w:val="1"/>
      <w:numFmt w:val="decimal"/>
      <w:lvlText w:val="%1."/>
      <w:lvlJc w:val="start"/>
      <w:pPr>
        <w:tabs>
          <w:tab w:val="num" w:pos="0"/>
        </w:tabs>
        <w:ind w:start="283"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1">
      <w:start w:val="1"/>
      <w:numFmt w:val="lowerLetter"/>
      <w:lvlText w:val="%2"/>
      <w:lvlJc w:val="start"/>
      <w:pPr>
        <w:tabs>
          <w:tab w:val="num" w:pos="0"/>
        </w:tabs>
        <w:ind w:start="108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2">
      <w:start w:val="1"/>
      <w:numFmt w:val="lowerRoman"/>
      <w:lvlText w:val="%3"/>
      <w:lvlJc w:val="start"/>
      <w:pPr>
        <w:tabs>
          <w:tab w:val="num" w:pos="0"/>
        </w:tabs>
        <w:ind w:start="180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3">
      <w:start w:val="1"/>
      <w:numFmt w:val="decimal"/>
      <w:lvlText w:val="%4"/>
      <w:lvlJc w:val="start"/>
      <w:pPr>
        <w:tabs>
          <w:tab w:val="num" w:pos="0"/>
        </w:tabs>
        <w:ind w:start="252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4">
      <w:start w:val="1"/>
      <w:numFmt w:val="lowerLetter"/>
      <w:lvlText w:val="%5"/>
      <w:lvlJc w:val="start"/>
      <w:pPr>
        <w:tabs>
          <w:tab w:val="num" w:pos="0"/>
        </w:tabs>
        <w:ind w:start="324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5">
      <w:start w:val="1"/>
      <w:numFmt w:val="lowerRoman"/>
      <w:lvlText w:val="%6"/>
      <w:lvlJc w:val="start"/>
      <w:pPr>
        <w:tabs>
          <w:tab w:val="num" w:pos="0"/>
        </w:tabs>
        <w:ind w:start="396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6">
      <w:start w:val="1"/>
      <w:numFmt w:val="decimal"/>
      <w:lvlText w:val="%7"/>
      <w:lvlJc w:val="start"/>
      <w:pPr>
        <w:tabs>
          <w:tab w:val="num" w:pos="0"/>
        </w:tabs>
        <w:ind w:start="468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7">
      <w:start w:val="1"/>
      <w:numFmt w:val="lowerLetter"/>
      <w:lvlText w:val="%8"/>
      <w:lvlJc w:val="start"/>
      <w:pPr>
        <w:tabs>
          <w:tab w:val="num" w:pos="0"/>
        </w:tabs>
        <w:ind w:start="540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lvl w:ilvl="8">
      <w:start w:val="1"/>
      <w:numFmt w:val="lowerRoman"/>
      <w:lvlText w:val="%9"/>
      <w:lvlJc w:val="start"/>
      <w:pPr>
        <w:tabs>
          <w:tab w:val="num" w:pos="0"/>
        </w:tabs>
        <w:ind w:start="6120" w:hanging="0"/>
      </w:pPr>
      <w:rPr>
        <w:rFonts w:ascii="Tahoma" w:hAnsi="Tahoma" w:eastAsia="Tahoma" w:cs="Tahoma"/>
        <w:b/>
        <w:bCs/>
        <w:i w:val="false"/>
        <w:strike w:val="false"/>
        <w:dstrike w:val="false"/>
        <w:color w:val="000000"/>
        <w:position w:val="0"/>
        <w:sz w:val="20"/>
        <w:szCs w:val="20"/>
        <w:u w:val="none" w:color="000000"/>
        <w:shd w:fill="auto" w:val="clear"/>
        <w:vertAlign w:val="baseline"/>
      </w:rPr>
    </w:lvl>
  </w:abstractNum>
  <w:abstractNum w:abstractNumId="9">
    <w:lvl w:ilvl="0">
      <w:start w:val="1"/>
      <w:numFmt w:val="decimal"/>
      <w:lvlText w:val="%1."/>
      <w:lvlJc w:val="start"/>
      <w:pPr>
        <w:tabs>
          <w:tab w:val="num" w:pos="0"/>
        </w:tabs>
        <w:ind w:start="283"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1">
      <w:start w:val="1"/>
      <w:numFmt w:val="lowerLetter"/>
      <w:lvlText w:val="%2"/>
      <w:lvlJc w:val="start"/>
      <w:pPr>
        <w:tabs>
          <w:tab w:val="num" w:pos="0"/>
        </w:tabs>
        <w:ind w:start="108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2">
      <w:start w:val="1"/>
      <w:numFmt w:val="lowerRoman"/>
      <w:lvlText w:val="%3"/>
      <w:lvlJc w:val="start"/>
      <w:pPr>
        <w:tabs>
          <w:tab w:val="num" w:pos="0"/>
        </w:tabs>
        <w:ind w:start="180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3">
      <w:start w:val="1"/>
      <w:numFmt w:val="decimal"/>
      <w:lvlText w:val="%4"/>
      <w:lvlJc w:val="start"/>
      <w:pPr>
        <w:tabs>
          <w:tab w:val="num" w:pos="0"/>
        </w:tabs>
        <w:ind w:start="252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4">
      <w:start w:val="1"/>
      <w:numFmt w:val="lowerLetter"/>
      <w:lvlText w:val="%5"/>
      <w:lvlJc w:val="start"/>
      <w:pPr>
        <w:tabs>
          <w:tab w:val="num" w:pos="0"/>
        </w:tabs>
        <w:ind w:start="324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5">
      <w:start w:val="1"/>
      <w:numFmt w:val="lowerRoman"/>
      <w:lvlText w:val="%6"/>
      <w:lvlJc w:val="start"/>
      <w:pPr>
        <w:tabs>
          <w:tab w:val="num" w:pos="0"/>
        </w:tabs>
        <w:ind w:start="396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6">
      <w:start w:val="1"/>
      <w:numFmt w:val="decimal"/>
      <w:lvlText w:val="%7"/>
      <w:lvlJc w:val="start"/>
      <w:pPr>
        <w:tabs>
          <w:tab w:val="num" w:pos="0"/>
        </w:tabs>
        <w:ind w:start="468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7">
      <w:start w:val="1"/>
      <w:numFmt w:val="lowerLetter"/>
      <w:lvlText w:val="%8"/>
      <w:lvlJc w:val="start"/>
      <w:pPr>
        <w:tabs>
          <w:tab w:val="num" w:pos="0"/>
        </w:tabs>
        <w:ind w:start="540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lvl w:ilvl="8">
      <w:start w:val="1"/>
      <w:numFmt w:val="lowerRoman"/>
      <w:lvlText w:val="%9"/>
      <w:lvlJc w:val="start"/>
      <w:pPr>
        <w:tabs>
          <w:tab w:val="num" w:pos="0"/>
        </w:tabs>
        <w:ind w:start="6120" w:hanging="0"/>
      </w:pPr>
      <w:rPr>
        <w:rFonts w:ascii="Tahoma" w:hAnsi="Tahoma" w:eastAsia="Tahoma" w:cs="Tahoma"/>
        <w:b/>
        <w:bCs/>
        <w:i w:val="false"/>
        <w:strike w:val="false"/>
        <w:dstrike w:val="false"/>
        <w:color w:val="0D0D0D"/>
        <w:position w:val="0"/>
        <w:sz w:val="20"/>
        <w:szCs w:val="20"/>
        <w:u w:val="none" w:color="000000"/>
        <w:shd w:fill="auto" w:val="clear"/>
        <w:vertAlign w:val="baseline"/>
      </w:rPr>
    </w:lvl>
  </w:abstractNum>
  <w:abstractNum w:abstractNumId="10">
    <w:lvl w:ilvl="0">
      <w:start w:val="1"/>
      <w:numFmt w:val="bullet"/>
      <w:lvlText w:val=""/>
      <w:lvlJc w:val="start"/>
      <w:pPr>
        <w:tabs>
          <w:tab w:val="num" w:pos="0"/>
        </w:tabs>
        <w:ind w:start="1080" w:hanging="360"/>
      </w:pPr>
      <w:rPr>
        <w:rFonts w:ascii="Symbol" w:hAnsi="Symbol" w:cs="Symbol" w:hint="default"/>
        <w:b w:val="false"/>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1">
    <w:lvl w:ilvl="0">
      <w:start w:val="1"/>
      <w:numFmt w:val="decimal"/>
      <w:lvlText w:val="%1."/>
      <w:lvlJc w:val="start"/>
      <w:pPr>
        <w:tabs>
          <w:tab w:val="num" w:pos="0"/>
        </w:tabs>
        <w:ind w:start="374" w:hanging="360"/>
      </w:pPr>
      <w:rPr/>
    </w:lvl>
    <w:lvl w:ilvl="1">
      <w:start w:val="1"/>
      <w:numFmt w:val="lowerLetter"/>
      <w:lvlText w:val="%2."/>
      <w:lvlJc w:val="start"/>
      <w:pPr>
        <w:tabs>
          <w:tab w:val="num" w:pos="0"/>
        </w:tabs>
        <w:ind w:start="1094" w:hanging="360"/>
      </w:pPr>
      <w:rPr/>
    </w:lvl>
    <w:lvl w:ilvl="2">
      <w:start w:val="1"/>
      <w:numFmt w:val="lowerRoman"/>
      <w:lvlText w:val="%3."/>
      <w:lvlJc w:val="end"/>
      <w:pPr>
        <w:tabs>
          <w:tab w:val="num" w:pos="0"/>
        </w:tabs>
        <w:ind w:start="1814" w:hanging="180"/>
      </w:pPr>
      <w:rPr/>
    </w:lvl>
    <w:lvl w:ilvl="3">
      <w:start w:val="1"/>
      <w:numFmt w:val="decimal"/>
      <w:lvlText w:val="%4."/>
      <w:lvlJc w:val="start"/>
      <w:pPr>
        <w:tabs>
          <w:tab w:val="num" w:pos="0"/>
        </w:tabs>
        <w:ind w:start="2534" w:hanging="360"/>
      </w:pPr>
      <w:rPr/>
    </w:lvl>
    <w:lvl w:ilvl="4">
      <w:start w:val="1"/>
      <w:numFmt w:val="lowerLetter"/>
      <w:lvlText w:val="%5."/>
      <w:lvlJc w:val="start"/>
      <w:pPr>
        <w:tabs>
          <w:tab w:val="num" w:pos="0"/>
        </w:tabs>
        <w:ind w:start="3254" w:hanging="360"/>
      </w:pPr>
      <w:rPr/>
    </w:lvl>
    <w:lvl w:ilvl="5">
      <w:start w:val="1"/>
      <w:numFmt w:val="lowerRoman"/>
      <w:lvlText w:val="%6."/>
      <w:lvlJc w:val="end"/>
      <w:pPr>
        <w:tabs>
          <w:tab w:val="num" w:pos="0"/>
        </w:tabs>
        <w:ind w:start="3974" w:hanging="180"/>
      </w:pPr>
      <w:rPr/>
    </w:lvl>
    <w:lvl w:ilvl="6">
      <w:start w:val="1"/>
      <w:numFmt w:val="decimal"/>
      <w:lvlText w:val="%7."/>
      <w:lvlJc w:val="start"/>
      <w:pPr>
        <w:tabs>
          <w:tab w:val="num" w:pos="0"/>
        </w:tabs>
        <w:ind w:start="4694" w:hanging="360"/>
      </w:pPr>
      <w:rPr/>
    </w:lvl>
    <w:lvl w:ilvl="7">
      <w:start w:val="1"/>
      <w:numFmt w:val="lowerLetter"/>
      <w:lvlText w:val="%8."/>
      <w:lvlJc w:val="start"/>
      <w:pPr>
        <w:tabs>
          <w:tab w:val="num" w:pos="0"/>
        </w:tabs>
        <w:ind w:start="5414" w:hanging="360"/>
      </w:pPr>
      <w:rPr/>
    </w:lvl>
    <w:lvl w:ilvl="8">
      <w:start w:val="1"/>
      <w:numFmt w:val="lowerRoman"/>
      <w:lvlText w:val="%9."/>
      <w:lvlJc w:val="end"/>
      <w:pPr>
        <w:tabs>
          <w:tab w:val="num" w:pos="0"/>
        </w:tabs>
        <w:ind w:start="6134" w:hanging="180"/>
      </w:pPr>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kern w:val="2"/>
        <w:sz w:val="22"/>
        <w:szCs w:val="22"/>
        <w:lang w:val="pl-PL" w:eastAsia="pl-PL" w:bidi="ar-SA"/>
        <w14:ligatures w14:val="standardContextual"/>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1" w:before="0" w:after="29"/>
      <w:ind w:hanging="437" w:start="451"/>
      <w:jc w:val="both"/>
    </w:pPr>
    <w:rPr>
      <w:rFonts w:ascii="Tahoma" w:hAnsi="Tahoma" w:eastAsia="Tahoma" w:cs="Tahoma"/>
      <w:color w:val="0D0D0D"/>
      <w:kern w:val="2"/>
      <w:sz w:val="20"/>
      <w:szCs w:val="22"/>
      <w:lang w:val="pl-PL" w:eastAsia="pl-PL" w:bidi="ar-SA"/>
    </w:rPr>
  </w:style>
  <w:style w:type="paragraph" w:styleId="Heading1">
    <w:name w:val="heading 1"/>
    <w:next w:val="Normal"/>
    <w:link w:val="Nagwek1Znak"/>
    <w:uiPriority w:val="9"/>
    <w:qFormat/>
    <w:pPr>
      <w:keepNext w:val="true"/>
      <w:keepLines/>
      <w:widowControl/>
      <w:suppressAutoHyphens w:val="true"/>
      <w:bidi w:val="0"/>
      <w:spacing w:lineRule="auto" w:line="259" w:before="0" w:after="284"/>
      <w:ind w:hanging="10" w:start="17"/>
      <w:jc w:val="center"/>
      <w:outlineLvl w:val="0"/>
    </w:pPr>
    <w:rPr>
      <w:rFonts w:ascii="Tahoma" w:hAnsi="Tahoma" w:eastAsia="Tahoma" w:cs="Tahoma"/>
      <w:b/>
      <w:color w:val="0D0D0D"/>
      <w:kern w:val="2"/>
      <w:sz w:val="20"/>
      <w:szCs w:val="22"/>
      <w:lang w:val="pl-PL" w:eastAsia="pl-PL" w:bidi="ar-SA"/>
    </w:rPr>
  </w:style>
  <w:style w:type="paragraph" w:styleId="Heading2">
    <w:name w:val="heading 2"/>
    <w:basedOn w:val="Normal"/>
    <w:next w:val="Normal"/>
    <w:qFormat/>
    <w:pPr>
      <w:keepNext w:val="true"/>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spacing w:before="240" w:after="60"/>
      <w:outlineLvl w:val="2"/>
    </w:pPr>
    <w:rPr>
      <w:rFonts w:ascii="Arial" w:hAnsi="Arial" w:cs="Arial"/>
      <w:b/>
      <w:bCs/>
      <w:sz w:val="26"/>
      <w:szCs w:val="26"/>
    </w:rPr>
  </w:style>
  <w:style w:type="character" w:styleId="DefaultParagraphFont" w:default="1">
    <w:name w:val="Default Paragraph Font"/>
    <w:uiPriority w:val="1"/>
    <w:semiHidden/>
    <w:unhideWhenUsed/>
    <w:qFormat/>
    <w:rPr/>
  </w:style>
  <w:style w:type="character" w:styleId="Nagwek1Znak" w:customStyle="1">
    <w:name w:val="Nagłówek 1 Znak"/>
    <w:qFormat/>
    <w:rPr>
      <w:rFonts w:ascii="Tahoma" w:hAnsi="Tahoma" w:eastAsia="Tahoma" w:cs="Tahoma"/>
      <w:b/>
      <w:color w:val="0D0D0D"/>
      <w:sz w:val="20"/>
    </w:rPr>
  </w:style>
  <w:style w:type="character" w:styleId="Strong">
    <w:name w:val="Strong"/>
    <w:basedOn w:val="DefaultParagraphFont"/>
    <w:uiPriority w:val="22"/>
    <w:qFormat/>
    <w:rsid w:val="001a36f6"/>
    <w:rPr>
      <w:b/>
      <w:bCs/>
    </w:rPr>
  </w:style>
  <w:style w:type="character" w:styleId="Hyperlink">
    <w:name w:val="Hyperlink"/>
    <w:basedOn w:val="DefaultParagraphFont"/>
    <w:uiPriority w:val="99"/>
    <w:unhideWhenUsed/>
    <w:rsid w:val="00d02180"/>
    <w:rPr>
      <w:color w:themeColor="hyperlink" w:val="0563C1"/>
      <w:u w:val="single"/>
    </w:rPr>
  </w:style>
  <w:style w:type="character" w:styleId="WW8Num13z0" w:customStyle="1">
    <w:name w:val="WW8Num13z0"/>
    <w:qFormat/>
    <w:rPr>
      <w:rFonts w:ascii="Tahoma" w:hAnsi="Tahoma" w:cs="Tahoma"/>
      <w:b/>
      <w:bCs w:val="false"/>
    </w:rPr>
  </w:style>
  <w:style w:type="character" w:styleId="WW8Num11z0" w:customStyle="1">
    <w:name w:val="WW8Num11z0"/>
    <w:qFormat/>
    <w:rPr>
      <w:rFonts w:ascii="Symbol" w:hAnsi="Symbol" w:cs="Symbol"/>
      <w:b w:val="false"/>
    </w:rPr>
  </w:style>
  <w:style w:type="character" w:styleId="Znakiprzypiswdolnych">
    <w:name w:val="Znaki przypisów dolnych"/>
    <w:qFormat/>
    <w:rPr>
      <w:vertAlign w:val="superscript"/>
    </w:rPr>
  </w:style>
  <w:style w:type="character" w:styleId="FootnoteReference">
    <w:name w:val="footnote reference"/>
    <w:rPr>
      <w:vertAlign w:val="superscript"/>
    </w:rPr>
  </w:style>
  <w:style w:type="character" w:styleId="Znakiprzypiswkocowych">
    <w:name w:val="Znaki przypisów końcowych"/>
    <w:qFormat/>
    <w:rPr>
      <w:vertAlign w:val="superscript"/>
    </w:rPr>
  </w:style>
  <w:style w:type="character" w:styleId="EndnoteReference">
    <w:name w:val="endnote reference"/>
    <w:rPr>
      <w:vertAlign w:val="superscript"/>
    </w:rPr>
  </w:style>
  <w:style w:type="character" w:styleId="footnotereference1">
    <w:name w:val="footnote reference1"/>
    <w:qFormat/>
    <w:rPr>
      <w:vertAlign w:val="superscript"/>
    </w:rPr>
  </w:style>
  <w:style w:type="character" w:styleId="endnotereference4">
    <w:name w:val="endnote reference4"/>
    <w:qFormat/>
    <w:rPr>
      <w:vertAlign w:val="superscript"/>
    </w:rPr>
  </w:style>
  <w:style w:type="character" w:styleId="footnotereference4">
    <w:name w:val="footnote reference4"/>
    <w:qFormat/>
    <w:rPr>
      <w:vertAlign w:val="superscript"/>
    </w:rPr>
  </w:style>
  <w:style w:type="character" w:styleId="endnotereference3">
    <w:name w:val="endnote reference3"/>
    <w:qFormat/>
    <w:rPr>
      <w:vertAlign w:val="superscript"/>
    </w:rPr>
  </w:style>
  <w:style w:type="character" w:styleId="footnotereference3">
    <w:name w:val="footnote reference3"/>
    <w:qFormat/>
    <w:rPr>
      <w:vertAlign w:val="superscript"/>
    </w:rPr>
  </w:style>
  <w:style w:type="character" w:styleId="endnotereference2">
    <w:name w:val="endnote reference2"/>
    <w:qFormat/>
    <w:rPr>
      <w:vertAlign w:val="superscrip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reference11">
    <w:name w:val="footnote reference11"/>
    <w:qFormat/>
    <w:rPr>
      <w:vertAlign w:val="superscript"/>
    </w:rPr>
  </w:style>
  <w:style w:type="character" w:styleId="WW-Znakiprzypiswkocowych">
    <w:name w:val="WW-Znaki przypisów końcowych"/>
    <w:qFormat/>
    <w:rPr/>
  </w:style>
  <w:style w:type="character" w:styleId="Znakiprzypiswkocowychuser">
    <w:name w:val="Znaki przypisów końcowych (user)"/>
    <w:qFormat/>
    <w:rPr>
      <w:vertAlign w:val="superscript"/>
    </w:rPr>
  </w:style>
  <w:style w:type="character" w:styleId="Odwoanieprzypisudolnego">
    <w:name w:val="Odwołanie przypisu dolnego"/>
    <w:qFormat/>
    <w:rPr>
      <w:vertAlign w:val="superscript"/>
    </w:rPr>
  </w:style>
  <w:style w:type="character" w:styleId="Znakiprzypiswdolnychuser">
    <w:name w:val="Znaki przypisów dolnych (user)"/>
    <w:qFormat/>
    <w:rPr>
      <w:vertAlign w:val="superscript"/>
    </w:rPr>
  </w:style>
  <w:style w:type="character" w:styleId="TekstprzypisudolnegoZnak">
    <w:name w:val="Tekst przypisu dolnego Znak"/>
    <w:qFormat/>
    <w:rPr/>
  </w:style>
  <w:style w:type="character" w:styleId="TematkomentarzaZnak">
    <w:name w:val="Temat komentarza Znak"/>
    <w:qFormat/>
    <w:rPr>
      <w:rFonts w:ascii="Times New Roman" w:hAnsi="Times New Roman" w:eastAsia="Times New Roman" w:cs="Times New Roman"/>
      <w:b/>
      <w:bCs/>
      <w:kern w:val="2"/>
    </w:rPr>
  </w:style>
  <w:style w:type="character" w:styleId="TekstkomentarzaZnak">
    <w:name w:val="Tekst komentarza Znak"/>
    <w:qFormat/>
    <w:rPr>
      <w:rFonts w:ascii="Times New Roman" w:hAnsi="Times New Roman" w:eastAsia="Times New Roman" w:cs="Times New Roman"/>
      <w:kern w:val="2"/>
    </w:rPr>
  </w:style>
  <w:style w:type="character" w:styleId="Odwoaniedokomentarza1">
    <w:name w:val="Odwołanie do komentarza1"/>
    <w:qFormat/>
    <w:rPr>
      <w:sz w:val="16"/>
      <w:szCs w:val="16"/>
    </w:rPr>
  </w:style>
  <w:style w:type="character" w:styleId="apple-converted-space">
    <w:name w:val="apple-converted-space"/>
    <w:qFormat/>
    <w:rPr/>
  </w:style>
  <w:style w:type="character" w:styleId="Tekstpodstawowywcity2Znak">
    <w:name w:val="Tekst podstawowy wcięty 2 Znak"/>
    <w:qFormat/>
    <w:rPr>
      <w:rFonts w:ascii="Times New Roman" w:hAnsi="Times New Roman" w:eastAsia="Calibri" w:cs="Times New Roman"/>
      <w:kern w:val="2"/>
      <w:sz w:val="20"/>
      <w:szCs w:val="20"/>
    </w:rPr>
  </w:style>
  <w:style w:type="character" w:styleId="TekstpodstawowywcityZnak">
    <w:name w:val="Tekst podstawowy wcięty Znak"/>
    <w:qFormat/>
    <w:rPr>
      <w:rFonts w:ascii="Times New Roman" w:hAnsi="Times New Roman" w:eastAsia="Calibri" w:cs="Times New Roman"/>
      <w:kern w:val="2"/>
      <w:sz w:val="20"/>
      <w:szCs w:val="20"/>
    </w:rPr>
  </w:style>
  <w:style w:type="character" w:styleId="TekstpodstawowyZnak">
    <w:name w:val="Tekst podstawowy Znak"/>
    <w:qFormat/>
    <w:rPr>
      <w:rFonts w:ascii="Times New Roman" w:hAnsi="Times New Roman" w:eastAsia="Calibri" w:cs="Times New Roman"/>
      <w:sz w:val="20"/>
      <w:szCs w:val="20"/>
      <w:lang w:val="en-GB"/>
    </w:rPr>
  </w:style>
  <w:style w:type="character" w:styleId="Nagwek3Znak">
    <w:name w:val="Nagłówek 3 Znak"/>
    <w:qFormat/>
    <w:rPr>
      <w:rFonts w:ascii="Arial" w:hAnsi="Arial" w:eastAsia="Times New Roman" w:cs="Times New Roman"/>
      <w:b/>
      <w:bCs/>
      <w:kern w:val="2"/>
      <w:sz w:val="26"/>
      <w:szCs w:val="26"/>
    </w:rPr>
  </w:style>
  <w:style w:type="character" w:styleId="Nagwek2Znak">
    <w:name w:val="Nagłówek 2 Znak"/>
    <w:qFormat/>
    <w:rPr>
      <w:rFonts w:ascii="Arial" w:hAnsi="Arial" w:eastAsia="Times New Roman" w:cs="Times New Roman"/>
      <w:b/>
      <w:bCs/>
      <w:i/>
      <w:iCs/>
      <w:kern w:val="2"/>
      <w:sz w:val="28"/>
      <w:szCs w:val="28"/>
    </w:rPr>
  </w:style>
  <w:style w:type="character" w:styleId="TekstdymkaZnak">
    <w:name w:val="Tekst dymka Znak"/>
    <w:qFormat/>
    <w:rPr>
      <w:rFonts w:ascii="Tahoma" w:hAnsi="Tahoma" w:cs="Tahoma"/>
      <w:sz w:val="16"/>
      <w:szCs w:val="16"/>
    </w:rPr>
  </w:style>
  <w:style w:type="character" w:styleId="NagwekZnak">
    <w:name w:val="Nagłówek Znak"/>
    <w:basedOn w:val="Domylnaczcionkaakapitu1"/>
    <w:qFormat/>
    <w:rPr/>
  </w:style>
  <w:style w:type="character" w:styleId="StopkaZnak">
    <w:name w:val="Stopka Znak"/>
    <w:basedOn w:val="Domylnaczcionkaakapitu1"/>
    <w:qFormat/>
    <w:rPr/>
  </w:style>
  <w:style w:type="character" w:styleId="BezodstpwZnak">
    <w:name w:val="Bez odstępów Znak"/>
    <w:qFormat/>
    <w:rPr>
      <w:rFonts w:eastAsia="Times New Roman"/>
      <w:sz w:val="72"/>
      <w:szCs w:val="22"/>
      <w:lang w:bidi="ar-SA"/>
    </w:rPr>
  </w:style>
  <w:style w:type="character" w:styleId="Domylnaczcionkaakapitu1">
    <w:name w:val="Domyślna czcionka akapitu1"/>
    <w:qFormat/>
    <w:rPr/>
  </w:style>
  <w:style w:type="character" w:styleId="WW8Num25z0">
    <w:name w:val="WW8Num25z0"/>
    <w:qFormat/>
    <w:rPr>
      <w:rFonts w:ascii="Tahoma" w:hAnsi="Tahoma" w:cs="Tahoma"/>
      <w:b/>
      <w:sz w:val="20"/>
    </w:rPr>
  </w:style>
  <w:style w:type="character" w:styleId="WW8Num24z2">
    <w:name w:val="WW8Num24z2"/>
    <w:qFormat/>
    <w:rPr>
      <w:rFonts w:ascii="Wingdings" w:hAnsi="Wingdings" w:cs="Wingdings"/>
    </w:rPr>
  </w:style>
  <w:style w:type="character" w:styleId="WW8Num24z1">
    <w:name w:val="WW8Num24z1"/>
    <w:qFormat/>
    <w:rPr>
      <w:rFonts w:ascii="Courier New" w:hAnsi="Courier New" w:cs="Courier New"/>
    </w:rPr>
  </w:style>
  <w:style w:type="character" w:styleId="WW8Num24z0">
    <w:name w:val="WW8Num24z0"/>
    <w:qFormat/>
    <w:rPr>
      <w:rFonts w:ascii="Symbol" w:hAnsi="Symbol" w:cs="Symbol"/>
    </w:rPr>
  </w:style>
  <w:style w:type="character" w:styleId="WW8Num23z0">
    <w:name w:val="WW8Num23z0"/>
    <w:qFormat/>
    <w:rPr>
      <w:rFonts w:ascii="Tahoma" w:hAnsi="Tahoma" w:cs="Tahoma"/>
      <w:b/>
      <w:bCs w:val="false"/>
    </w:rPr>
  </w:style>
  <w:style w:type="character" w:styleId="WW8Num22z4">
    <w:name w:val="WW8Num22z4"/>
    <w:qFormat/>
    <w:rPr>
      <w:b/>
      <w:color w:val="000000"/>
    </w:rPr>
  </w:style>
  <w:style w:type="character" w:styleId="WW8Num22z3">
    <w:name w:val="WW8Num22z3"/>
    <w:qFormat/>
    <w:rPr>
      <w:rFonts w:ascii="Calibri" w:hAnsi="Calibri" w:eastAsia="Times New Roman" w:cs="Calibri"/>
      <w:color w:val="000000"/>
    </w:rPr>
  </w:style>
  <w:style w:type="character" w:styleId="WW8Num21z0">
    <w:name w:val="WW8Num21z0"/>
    <w:qFormat/>
    <w:rPr>
      <w:rFonts w:ascii="Tahoma" w:hAnsi="Tahoma" w:eastAsia="Times New Roman" w:cs="Tahoma"/>
      <w:b/>
    </w:rPr>
  </w:style>
  <w:style w:type="character" w:styleId="WW8Num20z3">
    <w:name w:val="WW8Num20z3"/>
    <w:qFormat/>
    <w:rPr>
      <w:rFonts w:ascii="Symbol" w:hAnsi="Symbol" w:cs="Symbol"/>
    </w:rPr>
  </w:style>
  <w:style w:type="character" w:styleId="WW8Num20z2">
    <w:name w:val="WW8Num20z2"/>
    <w:qFormat/>
    <w:rPr>
      <w:rFonts w:ascii="Wingdings" w:hAnsi="Wingdings" w:cs="Wingdings"/>
    </w:rPr>
  </w:style>
  <w:style w:type="character" w:styleId="WW8Num20z1">
    <w:name w:val="WW8Num20z1"/>
    <w:qFormat/>
    <w:rPr>
      <w:rFonts w:ascii="Courier New" w:hAnsi="Courier New" w:cs="Courier New"/>
    </w:rPr>
  </w:style>
  <w:style w:type="character" w:styleId="WW8Num20z0">
    <w:name w:val="WW8Num20z0"/>
    <w:qFormat/>
    <w:rPr>
      <w:rFonts w:ascii="Symbol" w:hAnsi="Symbol" w:cs="Symbol"/>
      <w:b w:val="false"/>
    </w:rPr>
  </w:style>
  <w:style w:type="character" w:styleId="WW8Num19z0">
    <w:name w:val="WW8Num19z0"/>
    <w:qFormat/>
    <w:rPr>
      <w:rFonts w:ascii="Tahoma" w:hAnsi="Tahoma" w:eastAsia="Tahoma" w:cs="Tahoma"/>
      <w:b/>
      <w:bCs/>
      <w:i w:val="false"/>
      <w:strike w:val="false"/>
      <w:dstrike w:val="false"/>
      <w:color w:val="0D0D0D"/>
      <w:position w:val="0"/>
      <w:sz w:val="20"/>
      <w:szCs w:val="20"/>
      <w:u w:val="none"/>
      <w:shd w:fill="auto" w:val="clear"/>
      <w:vertAlign w:val="baseline"/>
    </w:rPr>
  </w:style>
  <w:style w:type="character" w:styleId="WW8Num18z0">
    <w:name w:val="WW8Num18z0"/>
    <w:qFormat/>
    <w:rPr>
      <w:b/>
    </w:rPr>
  </w:style>
  <w:style w:type="character" w:styleId="WW8Num17z3">
    <w:name w:val="WW8Num17z3"/>
    <w:qFormat/>
    <w:rPr>
      <w:rFonts w:ascii="Symbol" w:hAnsi="Symbol" w:cs="Symbol"/>
    </w:rPr>
  </w:style>
  <w:style w:type="character" w:styleId="WW8Num17z2">
    <w:name w:val="WW8Num17z2"/>
    <w:qFormat/>
    <w:rPr>
      <w:rFonts w:ascii="Wingdings" w:hAnsi="Wingdings" w:cs="Wingdings"/>
    </w:rPr>
  </w:style>
  <w:style w:type="character" w:styleId="WW8Num17z1">
    <w:name w:val="WW8Num17z1"/>
    <w:qFormat/>
    <w:rPr>
      <w:rFonts w:ascii="Courier New" w:hAnsi="Courier New" w:cs="Courier New"/>
    </w:rPr>
  </w:style>
  <w:style w:type="character" w:styleId="WW8Num17z0">
    <w:name w:val="WW8Num17z0"/>
    <w:qFormat/>
    <w:rPr>
      <w:rFonts w:ascii="Times New Roman" w:hAnsi="Times New Roman" w:eastAsia="Times New Roman" w:cs="Times New Roman"/>
      <w:b w:val="false"/>
    </w:rPr>
  </w:style>
  <w:style w:type="character" w:styleId="WW8Num15z3">
    <w:name w:val="WW8Num15z3"/>
    <w:qFormat/>
    <w:rPr>
      <w:rFonts w:ascii="Symbol" w:hAnsi="Symbol" w:cs="Symbol"/>
    </w:rPr>
  </w:style>
  <w:style w:type="character" w:styleId="WW8Num15z2">
    <w:name w:val="WW8Num15z2"/>
    <w:qFormat/>
    <w:rPr>
      <w:rFonts w:ascii="Wingdings" w:hAnsi="Wingdings" w:cs="Wingdings"/>
    </w:rPr>
  </w:style>
  <w:style w:type="character" w:styleId="WW8Num15z1">
    <w:name w:val="WW8Num15z1"/>
    <w:qFormat/>
    <w:rPr>
      <w:rFonts w:ascii="Courier New" w:hAnsi="Courier New" w:cs="Courier New"/>
    </w:rPr>
  </w:style>
  <w:style w:type="character" w:styleId="WW8Num10z3">
    <w:name w:val="WW8Num10z3"/>
    <w:qFormat/>
    <w:rPr>
      <w:rFonts w:ascii="Symbol" w:hAnsi="Symbol" w:cs="Symbol"/>
    </w:rPr>
  </w:style>
  <w:style w:type="character" w:styleId="WW8Num10z2">
    <w:name w:val="WW8Num10z2"/>
    <w:qFormat/>
    <w:rPr>
      <w:rFonts w:ascii="Wingdings" w:hAnsi="Wingdings" w:cs="Wingdings"/>
    </w:rPr>
  </w:style>
  <w:style w:type="character" w:styleId="WW8Num10z1">
    <w:name w:val="WW8Num10z1"/>
    <w:qFormat/>
    <w:rPr>
      <w:rFonts w:ascii="Courier New" w:hAnsi="Courier New" w:cs="Courier New"/>
    </w:rPr>
  </w:style>
  <w:style w:type="character" w:styleId="WW8Num8z3">
    <w:name w:val="WW8Num8z3"/>
    <w:qFormat/>
    <w:rPr>
      <w:rFonts w:ascii="Symbol" w:hAnsi="Symbol" w:cs="Symbol"/>
    </w:rPr>
  </w:style>
  <w:style w:type="character" w:styleId="WW8Num8z2">
    <w:name w:val="WW8Num8z2"/>
    <w:qFormat/>
    <w:rPr>
      <w:rFonts w:ascii="Wingdings" w:hAnsi="Wingdings" w:cs="Wingdings"/>
    </w:rPr>
  </w:style>
  <w:style w:type="character" w:styleId="WW8Num8z1">
    <w:name w:val="WW8Num8z1"/>
    <w:qFormat/>
    <w:rPr>
      <w:rFonts w:ascii="Courier New" w:hAnsi="Courier New" w:cs="Courier New"/>
    </w:rPr>
  </w:style>
  <w:style w:type="character" w:styleId="WW8Num6z2">
    <w:name w:val="WW8Num6z2"/>
    <w:qFormat/>
    <w:rPr>
      <w:rFonts w:ascii="Wingdings" w:hAnsi="Wingdings" w:cs="Wingdings"/>
    </w:rPr>
  </w:style>
  <w:style w:type="character" w:styleId="WW8Num6z1">
    <w:name w:val="WW8Num6z1"/>
    <w:qFormat/>
    <w:rPr>
      <w:rFonts w:ascii="Courier New" w:hAnsi="Courier New" w:cs="Courier New"/>
    </w:rPr>
  </w:style>
  <w:style w:type="character" w:styleId="WW8Num5z1">
    <w:name w:val="WW8Num5z1"/>
    <w:qFormat/>
    <w:rPr/>
  </w:style>
  <w:style w:type="character" w:styleId="WW8Num4z6">
    <w:name w:val="WW8Num4z6"/>
    <w:qFormat/>
    <w:rPr>
      <w:b/>
    </w:rPr>
  </w:style>
  <w:style w:type="character" w:styleId="WW8Num4z3">
    <w:name w:val="WW8Num4z3"/>
    <w:qFormat/>
    <w:rPr>
      <w:rFonts w:ascii="Tahoma" w:hAnsi="Tahoma" w:eastAsia="Calibri" w:cs="Tahoma"/>
      <w:b/>
      <w:color w:val="000000"/>
    </w:rPr>
  </w:style>
  <w:style w:type="character" w:styleId="WW8Num1z1">
    <w:name w:val="WW8Num1z1"/>
    <w:qFormat/>
    <w:rPr/>
  </w:style>
  <w:style w:type="character" w:styleId="WW8Num1z0">
    <w:name w:val="WW8Num1z0"/>
    <w:qFormat/>
    <w:rPr>
      <w:rFonts w:ascii="Tahoma" w:hAnsi="Tahoma" w:cs="Tahoma"/>
      <w:b/>
      <w:color w:val="000000"/>
      <w:sz w:val="20"/>
      <w:szCs w:val="20"/>
    </w:rPr>
  </w:style>
  <w:style w:type="character" w:styleId="Domylnaczcionkaakapitu">
    <w:name w:val="Domyślna czcionka akapitu"/>
    <w:qFormat/>
    <w:rPr/>
  </w:style>
  <w:style w:type="character" w:styleId="WW8Num16z0">
    <w:name w:val="WW8Num16z0"/>
    <w:qFormat/>
    <w:rPr>
      <w:rFonts w:ascii="Arial" w:hAnsi="Arial" w:eastAsia="Times New Roman" w:cs="Arial"/>
      <w:b/>
      <w:color w:val="000000"/>
    </w:rPr>
  </w:style>
  <w:style w:type="character" w:styleId="WW8Num15z0">
    <w:name w:val="WW8Num15z0"/>
    <w:qFormat/>
    <w:rPr>
      <w:rFonts w:ascii="Arial" w:hAnsi="Arial" w:eastAsia="Times New Roman" w:cs="Arial"/>
      <w:b/>
      <w:color w:val="000000"/>
    </w:rPr>
  </w:style>
  <w:style w:type="character" w:styleId="WW8Num14z0">
    <w:name w:val="WW8Num14z0"/>
    <w:qFormat/>
    <w:rPr>
      <w:b/>
      <w:i w:val="false"/>
    </w:rPr>
  </w:style>
  <w:style w:type="character" w:styleId="WW8Num12z0">
    <w:name w:val="WW8Num12z0"/>
    <w:qFormat/>
    <w:rPr>
      <w:rFonts w:ascii="Tahoma" w:hAnsi="Tahoma" w:cs="Tahoma"/>
      <w:b w:val="false"/>
      <w:bCs w:val="false"/>
    </w:rPr>
  </w:style>
  <w:style w:type="character" w:styleId="WW8Num10z0">
    <w:name w:val="WW8Num10z0"/>
    <w:qFormat/>
    <w:rPr>
      <w:rFonts w:ascii="Symbol" w:hAnsi="Symbol" w:cs="Symbol"/>
      <w:b w:val="false"/>
    </w:rPr>
  </w:style>
  <w:style w:type="character" w:styleId="WW8Num9z0">
    <w:name w:val="WW8Num9z0"/>
    <w:qFormat/>
    <w:rPr>
      <w:rFonts w:ascii="Tahoma" w:hAnsi="Tahoma" w:eastAsia="Tahoma" w:cs="Tahoma"/>
      <w:b/>
      <w:bCs/>
      <w:i w:val="false"/>
      <w:strike w:val="false"/>
      <w:dstrike w:val="false"/>
      <w:color w:val="0D0D0D"/>
      <w:position w:val="0"/>
      <w:sz w:val="20"/>
      <w:szCs w:val="20"/>
      <w:u w:val="none"/>
      <w:shd w:fill="auto" w:val="clear"/>
      <w:vertAlign w:val="baseline"/>
    </w:rPr>
  </w:style>
  <w:style w:type="character" w:styleId="WW8Num8z0">
    <w:name w:val="WW8Num8z0"/>
    <w:qFormat/>
    <w:rPr>
      <w:b w:val="false"/>
      <w:bCs w:val="false"/>
    </w:rPr>
  </w:style>
  <w:style w:type="character" w:styleId="WW8Num7z0">
    <w:name w:val="WW8Num7z0"/>
    <w:qFormat/>
    <w:rPr>
      <w:rFonts w:ascii="Tahoma" w:hAnsi="Tahoma" w:eastAsia="Times New Roman" w:cs="Tahoma"/>
      <w:b w:val="false"/>
      <w:bCs w:val="false"/>
      <w:i w:val="false"/>
    </w:rPr>
  </w:style>
  <w:style w:type="character" w:styleId="WW8Num6z0">
    <w:name w:val="WW8Num6z0"/>
    <w:qFormat/>
    <w:rPr>
      <w:rFonts w:ascii="Arial" w:hAnsi="Arial" w:eastAsia="Times New Roman" w:cs="Arial"/>
      <w:b w:val="false"/>
      <w:bCs w:val="false"/>
      <w:color w:val="000000"/>
    </w:rPr>
  </w:style>
  <w:style w:type="character" w:styleId="WW8Num5z0">
    <w:name w:val="WW8Num5z0"/>
    <w:qFormat/>
    <w:rPr>
      <w:rFonts w:ascii="Symbol" w:hAnsi="Symbol" w:cs="Symbol"/>
    </w:rPr>
  </w:style>
  <w:style w:type="character" w:styleId="WW8Num4z1">
    <w:name w:val="WW8Num4z1"/>
    <w:qFormat/>
    <w:rPr/>
  </w:style>
  <w:style w:type="character" w:styleId="WW8Num4z0">
    <w:name w:val="WW8Num4z0"/>
    <w:qFormat/>
    <w:rPr>
      <w:rFonts w:ascii="Tahoma" w:hAnsi="Tahoma" w:cs="Tahoma"/>
      <w:b w:val="false"/>
      <w:bCs w:val="false"/>
      <w:color w:val="000000"/>
    </w:rPr>
  </w:style>
  <w:style w:type="character" w:styleId="WW8Num3z6">
    <w:name w:val="WW8Num3z6"/>
    <w:qFormat/>
    <w:rPr>
      <w:b/>
    </w:rPr>
  </w:style>
  <w:style w:type="character" w:styleId="WW8Num3z3">
    <w:name w:val="WW8Num3z3"/>
    <w:qFormat/>
    <w:rPr>
      <w:rFonts w:ascii="Tahoma" w:hAnsi="Tahoma" w:eastAsia="Calibri" w:cs="Tahoma"/>
      <w:b/>
      <w:color w:val="000000"/>
    </w:rPr>
  </w:style>
  <w:style w:type="character" w:styleId="WW8Num3z1">
    <w:name w:val="WW8Num3z1"/>
    <w:qFormat/>
    <w:rPr>
      <w:rFonts w:ascii="Tahoma" w:hAnsi="Tahoma" w:eastAsia="Times New Roman" w:cs="Tahoma"/>
      <w:b w:val="false"/>
      <w:bCs w:val="false"/>
      <w:strike w:val="false"/>
      <w:dstrike w:val="false"/>
    </w:rPr>
  </w:style>
  <w:style w:type="character" w:styleId="WW8Num3z0">
    <w:name w:val="WW8Num3z0"/>
    <w:qFormat/>
    <w:rPr>
      <w:b/>
      <w:color w:val="000000"/>
    </w:rPr>
  </w:style>
  <w:style w:type="character" w:styleId="WW8Num2z1">
    <w:name w:val="WW8Num2z1"/>
    <w:qFormat/>
    <w:rPr/>
  </w:style>
  <w:style w:type="character" w:styleId="WW8Num2z0">
    <w:name w:val="WW8Num2z0"/>
    <w:qFormat/>
    <w:rPr>
      <w:rFonts w:ascii="Tahoma" w:hAnsi="Tahoma" w:cs="Tahoma"/>
      <w:b w:val="false"/>
      <w:bCs w:val="false"/>
      <w:color w:val="000000"/>
      <w:sz w:val="20"/>
      <w:szCs w:val="20"/>
    </w:rPr>
  </w:style>
  <w:style w:type="paragraph" w:styleId="Nagwek">
    <w:name w:val="Nagłówek"/>
    <w:basedOn w:val="Normal"/>
    <w:next w:val="BodyText"/>
    <w:qFormat/>
    <w:pPr>
      <w:keepNext w:val="true"/>
      <w:spacing w:before="240" w:after="120"/>
    </w:pPr>
    <w:rPr>
      <w:rFonts w:ascii="Arial" w:hAnsi="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customStyle="1">
    <w:name w:val="Indeks"/>
    <w:basedOn w:val="Normal"/>
    <w:qFormat/>
    <w:pPr>
      <w:suppressLineNumbers/>
    </w:pPr>
    <w:rPr>
      <w:rFonts w:cs="Lucida Sans"/>
    </w:rPr>
  </w:style>
  <w:style w:type="paragraph" w:styleId="Nagwekuser" w:customStyle="1">
    <w:name w:val="Nagłówek (user)"/>
    <w:basedOn w:val="Normal"/>
    <w:next w:val="BodyText"/>
    <w:qFormat/>
    <w:pPr>
      <w:keepNext w:val="true"/>
      <w:spacing w:before="240" w:after="120"/>
    </w:pPr>
    <w:rPr>
      <w:rFonts w:ascii="Liberation Sans" w:hAnsi="Liberation Sans" w:eastAsia="Microsoft YaHei" w:cs="Lucida Sans"/>
      <w:sz w:val="28"/>
      <w:szCs w:val="28"/>
    </w:rPr>
  </w:style>
  <w:style w:type="paragraph" w:styleId="Indeksuser" w:customStyle="1">
    <w:name w:val="Indeks (user)"/>
    <w:basedOn w:val="Normal"/>
    <w:qFormat/>
    <w:pPr>
      <w:suppressLineNumbers/>
    </w:pPr>
    <w:rPr>
      <w:rFonts w:cs="Lucida Sans"/>
    </w:rPr>
  </w:style>
  <w:style w:type="paragraph" w:styleId="Gwkaistopkauser" w:customStyle="1">
    <w:name w:val="Główka i stopka (user)"/>
    <w:basedOn w:val="Normal"/>
    <w:qFormat/>
    <w:pPr/>
    <w:rPr/>
  </w:style>
  <w:style w:type="paragraph" w:styleId="Gwkaistopka" w:customStyle="1">
    <w:name w:val="Główka i stopka"/>
    <w:basedOn w:val="Normal"/>
    <w:qFormat/>
    <w:pPr/>
    <w:rPr/>
  </w:style>
  <w:style w:type="paragraph" w:styleId="Header">
    <w:name w:val="header"/>
    <w:basedOn w:val="Gwkaistopkauser"/>
    <w:next w:val="BodyText"/>
    <w:pPr/>
    <w:rPr/>
  </w:style>
  <w:style w:type="paragraph" w:styleId="ListParagraph">
    <w:name w:val="List Paragraph"/>
    <w:basedOn w:val="Normal"/>
    <w:qFormat/>
    <w:pPr>
      <w:spacing w:before="0" w:after="0"/>
      <w:ind w:hanging="0" w:start="720"/>
      <w:contextualSpacing/>
    </w:pPr>
    <w:rPr/>
  </w:style>
  <w:style w:type="paragraph" w:styleId="Footer">
    <w:name w:val="footer"/>
    <w:basedOn w:val="Gwkaistopkauser"/>
    <w:pPr/>
    <w:rPr/>
  </w:style>
  <w:style w:type="paragraph" w:styleId="FootnoteText">
    <w:name w:val="footnote text"/>
    <w:basedOn w:val="Normal"/>
    <w:pPr/>
    <w:rPr>
      <w:rFonts w:ascii="Calibri" w:hAnsi="Calibri" w:eastAsia="Calibri" w:cs="Calibri"/>
      <w:kern w:val="0"/>
      <w:sz w:val="20"/>
      <w:szCs w:val="20"/>
    </w:rPr>
  </w:style>
  <w:style w:type="paragraph" w:styleId="Tematkomentarza">
    <w:name w:val="Temat komentarza"/>
    <w:basedOn w:val="Tekstkomentarza1"/>
    <w:next w:val="Tekstkomentarza1"/>
    <w:qFormat/>
    <w:pPr/>
    <w:rPr>
      <w:b/>
      <w:bCs/>
    </w:rPr>
  </w:style>
  <w:style w:type="paragraph" w:styleId="Tekstkomentarza1">
    <w:name w:val="Tekst komentarza1"/>
    <w:basedOn w:val="Normal"/>
    <w:qFormat/>
    <w:pPr/>
    <w:rPr>
      <w:sz w:val="20"/>
      <w:szCs w:val="20"/>
    </w:rPr>
  </w:style>
  <w:style w:type="paragraph" w:styleId="Akapitzlist1">
    <w:name w:val="Akapit z listą1"/>
    <w:basedOn w:val="Normal"/>
    <w:qFormat/>
    <w:pPr>
      <w:ind w:hanging="0" w:start="720" w:end="0"/>
    </w:pPr>
    <w:rPr>
      <w:rFonts w:eastAsia="Calibri"/>
      <w:kern w:val="0"/>
    </w:rPr>
  </w:style>
  <w:style w:type="paragraph" w:styleId="Pisma">
    <w:name w:val="Pisma"/>
    <w:basedOn w:val="Normal"/>
    <w:qFormat/>
    <w:pPr>
      <w:jc w:val="both"/>
    </w:pPr>
    <w:rPr>
      <w:kern w:val="0"/>
    </w:rPr>
  </w:style>
  <w:style w:type="paragraph" w:styleId="Akapitzlist">
    <w:name w:val="Akapit z listą"/>
    <w:basedOn w:val="Normal"/>
    <w:qFormat/>
    <w:pPr>
      <w:spacing w:before="0" w:after="0"/>
      <w:ind w:hanging="0" w:start="720" w:end="0"/>
      <w:contextualSpacing/>
    </w:pPr>
    <w:rPr/>
  </w:style>
  <w:style w:type="paragraph" w:styleId="Tekstpodstawowywcity21">
    <w:name w:val="Tekst podstawowy wcięty 21"/>
    <w:basedOn w:val="Normal"/>
    <w:qFormat/>
    <w:pPr>
      <w:spacing w:lineRule="auto" w:line="480" w:before="0" w:after="120"/>
      <w:ind w:hanging="0" w:start="283" w:end="0"/>
    </w:pPr>
    <w:rPr>
      <w:rFonts w:eastAsia="Calibri"/>
      <w:sz w:val="20"/>
      <w:szCs w:val="20"/>
    </w:rPr>
  </w:style>
  <w:style w:type="paragraph" w:styleId="BodyTextIndent">
    <w:name w:val="Body Text Indent"/>
    <w:basedOn w:val="Normal"/>
    <w:pPr>
      <w:spacing w:before="0" w:after="120"/>
      <w:ind w:hanging="0" w:start="283" w:end="0"/>
    </w:pPr>
    <w:rPr>
      <w:rFonts w:eastAsia="Calibri"/>
      <w:sz w:val="20"/>
      <w:szCs w:val="20"/>
    </w:rPr>
  </w:style>
  <w:style w:type="paragraph" w:styleId="Tekstdymka">
    <w:name w:val="Tekst dymka"/>
    <w:basedOn w:val="Normal"/>
    <w:qFormat/>
    <w:pPr/>
    <w:rPr>
      <w:rFonts w:ascii="Tahoma" w:hAnsi="Tahoma" w:cs="Tahoma"/>
      <w:sz w:val="16"/>
      <w:szCs w:val="16"/>
    </w:rPr>
  </w:style>
  <w:style w:type="paragraph" w:styleId="rozdzial">
    <w:name w:val="rozdzial"/>
    <w:qFormat/>
    <w:pPr>
      <w:widowControl/>
      <w:suppressAutoHyphens w:val="true"/>
      <w:bidi w:val="0"/>
      <w:spacing w:before="0" w:after="200"/>
      <w:jc w:val="start"/>
    </w:pPr>
    <w:rPr>
      <w:rFonts w:ascii="Calibri" w:hAnsi="Calibri" w:eastAsia="Calibri" w:cs="Calibri" w:asciiTheme="minorHAnsi" w:hAnsiTheme="minorHAnsi"/>
      <w:b/>
      <w:caps/>
      <w:color w:val="auto"/>
      <w:kern w:val="2"/>
      <w:sz w:val="36"/>
      <w:szCs w:val="22"/>
      <w:lang w:val="pl-PL" w:eastAsia="pl-PL" w:bidi="ar-SA"/>
      <w14:ligatures w14:val="standardContextual"/>
    </w:rPr>
  </w:style>
  <w:style w:type="paragraph" w:styleId="stopkadokumentu">
    <w:name w:val="stopka dokumentu"/>
    <w:basedOn w:val="stopka"/>
    <w:qFormat/>
    <w:pPr/>
    <w:rPr/>
  </w:style>
  <w:style w:type="paragraph" w:styleId="stopka">
    <w:name w:val="stopka"/>
    <w:basedOn w:val="Footer"/>
    <w:qFormat/>
    <w:pPr>
      <w:tabs>
        <w:tab w:val="clear" w:pos="708"/>
        <w:tab w:val="center" w:pos="4536" w:leader="none"/>
        <w:tab w:val="left" w:pos="4739" w:leader="none"/>
        <w:tab w:val="right" w:pos="9072" w:leader="none"/>
      </w:tabs>
      <w:jc w:val="both"/>
    </w:pPr>
    <w:rPr>
      <w:color w:val="548DD4"/>
      <w:sz w:val="16"/>
    </w:rPr>
  </w:style>
  <w:style w:type="paragraph" w:styleId="Styl1">
    <w:name w:val="Styl1"/>
    <w:qFormat/>
    <w:pPr>
      <w:widowControl/>
      <w:tabs>
        <w:tab w:val="clear" w:pos="708"/>
        <w:tab w:val="left" w:pos="4739" w:leader="none"/>
      </w:tabs>
      <w:suppressAutoHyphens w:val="true"/>
      <w:bidi w:val="0"/>
      <w:spacing w:lineRule="auto" w:line="276" w:before="0" w:after="200"/>
      <w:jc w:val="start"/>
    </w:pPr>
    <w:rPr>
      <w:rFonts w:ascii="Calibri" w:hAnsi="Calibri" w:eastAsia="Calibri" w:cs="Calibri" w:asciiTheme="minorHAnsi" w:hAnsiTheme="minorHAnsi"/>
      <w:color w:val="548DD4"/>
      <w:kern w:val="2"/>
      <w:sz w:val="20"/>
      <w:szCs w:val="22"/>
      <w:lang w:val="pl-PL" w:eastAsia="pl-PL" w:bidi="ar-SA"/>
      <w14:ligatures w14:val="standardContextual"/>
    </w:rPr>
  </w:style>
  <w:style w:type="paragraph" w:styleId="data">
    <w:name w:val="data"/>
    <w:qFormat/>
    <w:pPr>
      <w:widowControl/>
      <w:suppressAutoHyphens w:val="true"/>
      <w:bidi w:val="0"/>
      <w:spacing w:lineRule="auto" w:line="276" w:before="0" w:after="200"/>
      <w:jc w:val="start"/>
    </w:pPr>
    <w:rPr>
      <w:rFonts w:ascii="Cambria" w:hAnsi="Cambria" w:eastAsia="Times New Roman" w:cs="Cambria"/>
      <w:color w:val="auto"/>
      <w:kern w:val="2"/>
      <w:sz w:val="22"/>
      <w:szCs w:val="36"/>
      <w:lang w:val="pl-PL" w:eastAsia="pl-PL" w:bidi="ar-SA"/>
      <w14:ligatures w14:val="standardContextual"/>
    </w:rPr>
  </w:style>
  <w:style w:type="paragraph" w:styleId="streszczenie">
    <w:name w:val="streszczenie"/>
    <w:qFormat/>
    <w:pPr>
      <w:widowControl/>
      <w:tabs>
        <w:tab w:val="clear" w:pos="708"/>
        <w:tab w:val="left" w:pos="7088" w:leader="none"/>
      </w:tabs>
      <w:suppressAutoHyphens w:val="true"/>
      <w:bidi w:val="0"/>
      <w:spacing w:before="0" w:after="0"/>
      <w:jc w:val="both"/>
    </w:pPr>
    <w:rPr>
      <w:rFonts w:ascii="Calibri" w:hAnsi="Calibri" w:eastAsia="Calibri" w:cs="Calibri" w:asciiTheme="minorHAnsi" w:hAnsiTheme="minorHAnsi"/>
      <w:color w:val="548DD4"/>
      <w:kern w:val="2"/>
      <w:sz w:val="24"/>
      <w:szCs w:val="22"/>
      <w:lang w:val="pl-PL" w:eastAsia="pl-PL" w:bidi="ar-SA"/>
      <w14:ligatures w14:val="standardContextual"/>
    </w:rPr>
  </w:style>
  <w:style w:type="paragraph" w:styleId="autor">
    <w:name w:val="autor"/>
    <w:qFormat/>
    <w:pPr>
      <w:widowControl/>
      <w:suppressAutoHyphens w:val="true"/>
      <w:bidi w:val="0"/>
      <w:spacing w:lineRule="auto" w:line="276" w:before="0" w:after="200"/>
      <w:jc w:val="start"/>
    </w:pPr>
    <w:rPr>
      <w:rFonts w:ascii="Calibri" w:hAnsi="Calibri" w:eastAsia="Times New Roman" w:cs="Calibri" w:asciiTheme="minorHAnsi" w:hAnsiTheme="minorHAnsi"/>
      <w:caps/>
      <w:color w:val="auto"/>
      <w:kern w:val="2"/>
      <w:sz w:val="28"/>
      <w:szCs w:val="28"/>
      <w:lang w:val="pl-PL" w:eastAsia="pl-PL" w:bidi="ar-SA"/>
      <w14:ligatures w14:val="standardContextual"/>
    </w:rPr>
  </w:style>
  <w:style w:type="paragraph" w:styleId="tytulpublikacji">
    <w:name w:val="tytul publikacji"/>
    <w:qFormat/>
    <w:pPr>
      <w:widowControl/>
      <w:suppressAutoHyphens w:val="true"/>
      <w:bidi w:val="0"/>
      <w:spacing w:before="0" w:after="200"/>
      <w:ind w:hanging="0" w:start="0" w:end="-1231"/>
      <w:jc w:val="start"/>
    </w:pPr>
    <w:rPr>
      <w:rFonts w:ascii="Cambria" w:hAnsi="Cambria" w:eastAsia="Times New Roman" w:cs="Cambria"/>
      <w:b/>
      <w:caps/>
      <w:color w:val="548DD4"/>
      <w:kern w:val="2"/>
      <w:sz w:val="80"/>
      <w:szCs w:val="72"/>
      <w:lang w:val="pl-PL" w:eastAsia="pl-PL" w:bidi="ar-SA"/>
      <w14:ligatures w14:val="standardContextual"/>
    </w:rPr>
  </w:style>
  <w:style w:type="paragraph" w:styleId="podtytul">
    <w:name w:val="podtytul"/>
    <w:basedOn w:val="Bezodstpw"/>
    <w:qFormat/>
    <w:pPr/>
    <w:rPr>
      <w:sz w:val="44"/>
      <w:szCs w:val="40"/>
    </w:rPr>
  </w:style>
  <w:style w:type="paragraph" w:styleId="Bezodstpw">
    <w:name w:val="Bez odstępów"/>
    <w:next w:val="Normal"/>
    <w:qFormat/>
    <w:pPr>
      <w:widowControl/>
      <w:suppressAutoHyphens w:val="true"/>
      <w:bidi w:val="0"/>
      <w:spacing w:before="0" w:after="0"/>
      <w:jc w:val="start"/>
    </w:pPr>
    <w:rPr>
      <w:rFonts w:ascii="Calibri" w:hAnsi="Calibri" w:eastAsia="Times New Roman" w:cs="Calibri" w:asciiTheme="minorHAnsi" w:hAnsiTheme="minorHAnsi"/>
      <w:color w:val="auto"/>
      <w:kern w:val="2"/>
      <w:sz w:val="72"/>
      <w:szCs w:val="22"/>
      <w:lang w:val="pl-PL" w:eastAsia="pl-PL" w:bidi="ar-SA"/>
      <w14:ligatures w14:val="standardContextual"/>
    </w:rPr>
  </w:style>
  <w:style w:type="paragraph" w:styleId="Legenda">
    <w:name w:val="Legenda"/>
    <w:basedOn w:val="Normal"/>
    <w:qFormat/>
    <w:pPr>
      <w:suppressLineNumbers/>
      <w:spacing w:before="120" w:after="120"/>
    </w:pPr>
    <w:rPr>
      <w:rFonts w:cs="Lucida Sans"/>
      <w:i/>
      <w:iCs/>
      <w:sz w:val="24"/>
      <w:szCs w:val="24"/>
    </w:rPr>
  </w:style>
  <w:style w:type="paragraph" w:styleId="Nagwek1">
    <w:name w:val="Nagłówek1"/>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caption1111">
    <w:name w:val="caption11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
    <w:name w:val="caption1"/>
    <w:basedOn w:val="Normal"/>
    <w:qFormat/>
    <w:pPr>
      <w:suppressLineNumbers/>
      <w:spacing w:before="120" w:after="120"/>
    </w:pPr>
    <w:rPr>
      <w:rFonts w:cs="Lucida Sans"/>
      <w:i/>
      <w:iCs/>
      <w:sz w:val="24"/>
      <w:szCs w:val="24"/>
    </w:rPr>
  </w:style>
  <w:style w:type="paragraph" w:styleId="caption2">
    <w:name w:val="caption2"/>
    <w:basedOn w:val="Normal"/>
    <w:qFormat/>
    <w:pPr>
      <w:suppressLineNumbers/>
      <w:spacing w:before="120" w:after="120"/>
    </w:pPr>
    <w:rPr>
      <w:rFonts w:cs="Lucida Sans"/>
      <w:i/>
      <w:iCs/>
      <w:sz w:val="24"/>
      <w:szCs w:val="24"/>
    </w:rPr>
  </w:style>
  <w:style w:type="numbering" w:styleId="Bezlistyuser" w:customStyle="1">
    <w:name w:val="Bez listy (user)"/>
    <w:uiPriority w:val="99"/>
    <w:semiHidden/>
    <w:unhideWhenUsed/>
    <w:qFormat/>
  </w:style>
  <w:style w:type="numbering" w:styleId="WW8Num13" w:customStyle="1">
    <w:name w:val="WW8Num13"/>
    <w:qFormat/>
  </w:style>
  <w:style w:type="numbering" w:styleId="WW8Num11" w:customStyle="1">
    <w:name w:val="WW8Num11"/>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2">
    <w:name w:val="WW8Num12"/>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customStyle="1" w:styleId="TableGrid">
    <w:name w:val="TableGrid"/>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ms@trgp.org.pl"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TotalTime>
  <Application>LibreOffice/26.2.5.2$Windows_X86_64 LibreOffice_project/cd7284b4cbbfeb507e630c1aac019f4157393acb</Application>
  <AppVersion>15.0000</AppVersion>
  <Pages>9</Pages>
  <Words>2734</Words>
  <Characters>18614</Characters>
  <CharactersWithSpaces>21374</CharactersWithSpaces>
  <Paragraphs>127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2026-08-31T11:27:00Z</dcterms:created>
  <dc:creator>Użytkownik systemu Windows</dc:creator>
  <dc:description/>
  <dc:language>pl-PL</dc:language>
  <cp:lastModifiedBy/>
  <cp:lastPrinted>2025-07-14T10:08:00Z</cp:lastPrinted>
  <dcterms:modified xsi:type="dcterms:W3CDTF">2026-09-03T16:18:46Z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