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REGULAMIN KONK</w:t>
      </w:r>
      <w:r>
        <w:rPr>
          <w:rFonts w:cs="Arial" w:ascii="Arial" w:hAnsi="Arial"/>
          <w:b/>
          <w:color w:val="111111"/>
          <w:sz w:val="24"/>
          <w:szCs w:val="24"/>
        </w:rPr>
        <w:t xml:space="preserve">URSU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val="111111"/>
          <w:sz w:val="24"/>
          <w:szCs w:val="24"/>
        </w:rPr>
        <w:t>„</w:t>
      </w:r>
      <w:r>
        <w:rPr>
          <w:rFonts w:cs="Arial" w:ascii="Arial" w:hAnsi="Arial"/>
          <w:b/>
          <w:color w:val="111111"/>
          <w:sz w:val="24"/>
          <w:szCs w:val="24"/>
        </w:rPr>
        <w:t>Moc Małych Społeczności - Kujawsko-Pomorskie”</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w ramach projektu „Inicjuj w małych społecznościach 2.0”</w:t>
        <w:b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2"/>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I POSTANOWIENIA OGÓLNE</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3"/>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rPr>
          <w:rFonts w:ascii="Arial" w:hAnsi="Arial" w:cs="Arial"/>
          <w:color w:themeColor="text1" w:val="000000"/>
          <w:sz w:val="24"/>
          <w:szCs w:val="24"/>
        </w:rPr>
      </w:pPr>
      <w:r>
        <w:rPr>
          <w:rFonts w:cs="Arial" w:ascii="Arial" w:hAnsi="Arial"/>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jc w:val="both"/>
        <w:rPr>
          <w:sz w:val="24"/>
          <w:szCs w:val="24"/>
        </w:rPr>
      </w:pPr>
      <w:r>
        <w:rPr>
          <w:rFonts w:cs="Arial" w:ascii="Arial" w:hAnsi="Arial"/>
          <w:color w:themeColor="text1" w:val="000000"/>
          <w:sz w:val="24"/>
          <w:szCs w:val="24"/>
        </w:rPr>
        <w:t>1. Regulamin określa zasady realizacji konkursu</w:t>
      </w:r>
      <w:r>
        <w:rPr>
          <w:rFonts w:cs="Arial" w:ascii="Arial" w:hAnsi="Arial"/>
          <w:color w:val="111111"/>
          <w:sz w:val="24"/>
          <w:szCs w:val="24"/>
        </w:rPr>
        <w:t xml:space="preserve"> „Moc Małych Społeczności - Kujawsko-Pomorskie” w ramach projektu</w:t>
      </w:r>
      <w:r>
        <w:rPr>
          <w:rFonts w:cs="Arial" w:ascii="Arial" w:hAnsi="Arial"/>
          <w:color w:themeColor="text1" w:val="000000"/>
          <w:sz w:val="24"/>
          <w:szCs w:val="24"/>
        </w:rPr>
        <w:t xml:space="preserve"> „Inicjuj w małych społecznościach 2.0”, realizowanego przez Stowarzyszenie Kujawsko-Pomorski Ośrodek Wsparcia Inicjatyw Pozarządowych TŁOK oraz Towarzystwo Rozwoju Gminy Płużnica, zwanych Operatorami. Regulamin określa w szczególności zasady przyznawania i rozliczania mikrodotacji.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 xml:space="preserve">2. Mikrodotacje zostaną przyznane zgodnie z art. 16. oraz art. 16a. ustawy z dnia 24 kwietnia 2003 r. o działalności pożytku publicznego i o wolontariacie (Dz. U. z 2019 r. poz. 688 z późn. zm.). Środki na mikrodotacje pochodzą z Rządowego Programu wsparcia organizacji pozarządowych - Moc Małych Społeczności – Priorytet 2. </w:t>
      </w:r>
    </w:p>
    <w:p>
      <w:pPr>
        <w:pStyle w:val="Default"/>
        <w:jc w:val="left"/>
        <w:rPr>
          <w:strike w:val="false"/>
          <w:dstrike w:val="false"/>
          <w:sz w:val="24"/>
          <w:szCs w:val="24"/>
          <w:u w:val="none"/>
        </w:rPr>
      </w:pPr>
      <w:r>
        <w:rPr>
          <w:strike w:val="false"/>
          <w:dstrike w:val="false"/>
          <w:sz w:val="24"/>
          <w:szCs w:val="24"/>
          <w:u w:val="none"/>
        </w:rPr>
      </w:r>
    </w:p>
    <w:p>
      <w:pPr>
        <w:pStyle w:val="Default"/>
        <w:spacing w:lineRule="auto" w:line="276"/>
        <w:jc w:val="left"/>
        <w:rPr>
          <w:sz w:val="24"/>
          <w:szCs w:val="24"/>
        </w:rPr>
      </w:pPr>
      <w:r>
        <w:rPr>
          <w:rFonts w:ascii="Arial" w:hAnsi="Arial"/>
          <w:sz w:val="24"/>
          <w:szCs w:val="24"/>
          <w:shd w:fill="FFFFFF" w:val="clear"/>
        </w:rPr>
        <w:t xml:space="preserve">Głównym celem Programu jest zwiększenie odporności społeczności lokalnych na kryzysy przez zwiększenie potencjału małych i średnich lokalnych organizacji działających na terenach wiejskich lub w małych i średnich miejscowościach do inicjowania i prowadzenia działań w tym obszarze.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strike w:val="false"/>
          <w:dstrike w:val="false"/>
          <w:color w:themeColor="text1" w:val="000000"/>
          <w:sz w:val="24"/>
          <w:szCs w:val="24"/>
          <w:u w:val="none"/>
          <w:shd w:fill="FFFFFF" w:val="clear"/>
        </w:rPr>
        <w:t xml:space="preserve">Zwiększenie potencjału organizacji ma również prowadzić do rozwoju i profesjonalizacji sektora pozarządowego, w tym do podniesienia jakości współpracy organizacji z administracją, ich efektywniejszego zaangażowania w działania na rzecz społeczności lokalnych i odpowiadania na aktualne problemy społeczne.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 xml:space="preserve">Wysokość środków finansowych przeznaczonych na dofinansowanie mikrodotacji: 720 000.00 zł </w:t>
      </w:r>
    </w:p>
    <w:p>
      <w:pPr>
        <w:pStyle w:val="Normal"/>
        <w:spacing w:before="0" w:after="0"/>
        <w:ind w:hanging="72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Normal"/>
        <w:jc w:val="both"/>
        <w:rPr>
          <w:sz w:val="24"/>
          <w:szCs w:val="24"/>
        </w:rPr>
      </w:pPr>
      <w:r>
        <w:rPr>
          <w:rFonts w:cs="Arial" w:ascii="Arial" w:hAnsi="Arial"/>
          <w:color w:themeColor="text1" w:val="000000"/>
          <w:sz w:val="24"/>
          <w:szCs w:val="24"/>
        </w:rPr>
        <w:t>3. Wsparcie w postaci mikrodo</w:t>
      </w:r>
      <w:r>
        <w:rPr>
          <w:rFonts w:cs="Arial" w:ascii="Arial" w:hAnsi="Arial"/>
          <w:sz w:val="24"/>
          <w:szCs w:val="24"/>
        </w:rPr>
        <w:t xml:space="preserve">tacji w </w:t>
      </w:r>
      <w:r>
        <w:rPr>
          <w:rFonts w:cs="Arial" w:ascii="Arial" w:hAnsi="Arial"/>
          <w:color w:themeColor="text1" w:val="000000"/>
          <w:sz w:val="24"/>
          <w:szCs w:val="24"/>
        </w:rPr>
        <w:t>konkursie</w:t>
      </w:r>
      <w:r>
        <w:rPr>
          <w:rFonts w:cs="Arial" w:ascii="Arial" w:hAnsi="Arial"/>
          <w:color w:val="111111"/>
          <w:sz w:val="24"/>
          <w:szCs w:val="24"/>
        </w:rPr>
        <w:t xml:space="preserve"> </w:t>
      </w:r>
      <w:r>
        <w:rPr>
          <w:rFonts w:cs="Arial" w:ascii="Arial" w:hAnsi="Arial"/>
          <w:b/>
          <w:color w:val="111111"/>
          <w:sz w:val="24"/>
          <w:szCs w:val="24"/>
        </w:rPr>
        <w:t xml:space="preserve">„Moc Małych Społeczności - Kujawsko-Pomorskie” w ramach </w:t>
      </w:r>
      <w:r>
        <w:rPr>
          <w:rFonts w:cs="Arial" w:ascii="Arial" w:hAnsi="Arial"/>
          <w:color w:val="111111"/>
          <w:sz w:val="24"/>
          <w:szCs w:val="24"/>
        </w:rPr>
        <w:t>projektu</w:t>
      </w:r>
      <w:r>
        <w:rPr>
          <w:rFonts w:cs="Arial" w:ascii="Arial" w:hAnsi="Arial"/>
          <w:color w:themeColor="text1" w:val="000000"/>
          <w:sz w:val="24"/>
          <w:szCs w:val="24"/>
        </w:rPr>
        <w:t xml:space="preserve"> </w:t>
      </w:r>
      <w:r>
        <w:rPr>
          <w:rFonts w:cs="Arial" w:ascii="Arial" w:hAnsi="Arial"/>
          <w:sz w:val="24"/>
          <w:szCs w:val="24"/>
        </w:rPr>
        <w:t>„Inicjuj w małych społecznościach 2.0”, adresowane jest do najmniejszych, lokalnych organizacji pozarządowych oraz</w:t>
      </w:r>
      <w:r>
        <w:rPr>
          <w:rFonts w:cs="Arial" w:ascii="Arial" w:hAnsi="Arial"/>
          <w:color w:themeColor="text1" w:val="000000"/>
          <w:sz w:val="24"/>
          <w:szCs w:val="24"/>
        </w:rPr>
        <w:t xml:space="preserve"> lokalnych grup nieformalnych, nieposiadających jeszcze potencjału do realizacji bardziej złożonych zadań. Program ma na celu umożliwić rozwój małym inicjatywom lokalnym, by wzmacniać potencjał do prowadzenia przez te organizacje działań budujących gotowość kryzysową, a dzięki realizowanym przez nie działaniom – wzmacnianie odporności społeczności lokalnych. </w:t>
      </w:r>
    </w:p>
    <w:p>
      <w:pPr>
        <w:pStyle w:val="Normal"/>
        <w:jc w:val="both"/>
        <w:rPr>
          <w:sz w:val="24"/>
          <w:szCs w:val="24"/>
        </w:rPr>
      </w:pPr>
      <w:r>
        <w:rPr>
          <w:rFonts w:cs="Arial" w:ascii="Arial" w:hAnsi="Arial"/>
          <w:strike w:val="false"/>
          <w:dstrike w:val="false"/>
          <w:color w:val="auto"/>
          <w:sz w:val="24"/>
          <w:szCs w:val="24"/>
        </w:rPr>
        <w:t xml:space="preserve">4. Zakres działań możliwych do zrealizowania  obejmuje wszystkie sfery zadań publicznych wymienione w art. 4 ust. 1 UoDPPiW, pod warunkiem, że zawierają jeden z komponentów związanych bezpośrednio z budowaniem odporności społecznej, bezpieczeństwa lokalnego lub przygotowaniem mieszkańców do reagowania na sytuacje kryzysowe. </w:t>
      </w:r>
    </w:p>
    <w:p>
      <w:pPr>
        <w:pStyle w:val="Default"/>
        <w:jc w:val="both"/>
        <w:rPr>
          <w:rFonts w:ascii="Arial" w:hAnsi="Arial" w:cs="Arial"/>
          <w:color w:val="auto"/>
          <w:sz w:val="24"/>
          <w:szCs w:val="24"/>
        </w:rPr>
      </w:pPr>
      <w:r>
        <w:rPr>
          <w:rFonts w:cs="Arial" w:ascii="Arial" w:hAnsi="Arial"/>
          <w:color w:val="auto"/>
          <w:sz w:val="24"/>
          <w:szCs w:val="24"/>
        </w:rPr>
      </w:r>
    </w:p>
    <w:p>
      <w:pPr>
        <w:pStyle w:val="Default"/>
        <w:spacing w:lineRule="auto" w:line="276"/>
        <w:jc w:val="both"/>
        <w:rPr>
          <w:sz w:val="24"/>
          <w:szCs w:val="24"/>
        </w:rPr>
      </w:pPr>
      <w:r>
        <w:rPr>
          <w:rFonts w:cs="Arial" w:ascii="Arial" w:hAnsi="Arial"/>
          <w:color w:val="auto"/>
          <w:sz w:val="24"/>
          <w:szCs w:val="24"/>
        </w:rPr>
        <w:t xml:space="preserve">5. Zakładana jest realizacja dwóch rodzajów zadań: </w:t>
      </w:r>
    </w:p>
    <w:p>
      <w:pPr>
        <w:pStyle w:val="Default"/>
        <w:spacing w:lineRule="auto" w:line="276"/>
        <w:jc w:val="both"/>
        <w:rPr>
          <w:rFonts w:ascii="Arial" w:hAnsi="Arial" w:cs="Arial"/>
          <w:color w:val="auto"/>
          <w:sz w:val="24"/>
          <w:szCs w:val="24"/>
        </w:rPr>
      </w:pPr>
      <w:r>
        <w:rPr>
          <w:rFonts w:cs="Arial" w:ascii="Arial" w:hAnsi="Arial"/>
          <w:color w:val="auto"/>
          <w:sz w:val="24"/>
          <w:szCs w:val="24"/>
        </w:rPr>
      </w:r>
    </w:p>
    <w:p>
      <w:pPr>
        <w:pStyle w:val="Default"/>
        <w:spacing w:lineRule="auto" w:line="276"/>
        <w:jc w:val="both"/>
        <w:rPr>
          <w:sz w:val="24"/>
          <w:szCs w:val="24"/>
        </w:rPr>
      </w:pPr>
      <w:r>
        <w:rPr>
          <w:rFonts w:cs="Arial" w:ascii="Arial" w:hAnsi="Arial"/>
          <w:color w:val="auto"/>
          <w:sz w:val="24"/>
          <w:szCs w:val="24"/>
        </w:rPr>
        <w:t xml:space="preserve">1) lokalnych inicjatyw budujących odporność społeczną (np. zakup AED i szkolenie z pierwszej pomocy, praktyczne ćwiczenia z ewakuacji osób z niepełnosprawnościami, działania związane z surwiwalem i umiejętnościami radzenia sobie w trudnych warunkach, realizacja warsztatów i szkoleń z zakresu współdziałania lokalnych społeczności w kryzysach, zakup i konfiguracja lokalnych systemów łączności w trudnych warunkach, programy wspierające np. małe alternatywne systemy zasilania w trakcie blackoutów); </w:t>
      </w:r>
    </w:p>
    <w:p>
      <w:pPr>
        <w:pStyle w:val="Default"/>
        <w:spacing w:lineRule="auto" w:line="276"/>
        <w:jc w:val="both"/>
        <w:rPr>
          <w:sz w:val="24"/>
          <w:szCs w:val="24"/>
        </w:rPr>
      </w:pPr>
      <w:r>
        <w:rPr>
          <w:rFonts w:cs="Arial" w:ascii="Arial" w:hAnsi="Arial"/>
          <w:color w:val="auto"/>
          <w:sz w:val="24"/>
          <w:szCs w:val="24"/>
        </w:rPr>
        <w:t xml:space="preserve">2) działań pośrednio wspierających lokalne organizacje: </w:t>
      </w:r>
    </w:p>
    <w:p>
      <w:pPr>
        <w:pStyle w:val="Default"/>
        <w:spacing w:lineRule="auto" w:line="276" w:before="0" w:after="107"/>
        <w:jc w:val="both"/>
        <w:rPr>
          <w:sz w:val="24"/>
          <w:szCs w:val="24"/>
        </w:rPr>
      </w:pPr>
      <w:r>
        <w:rPr>
          <w:rFonts w:cs="Arial" w:ascii="Arial" w:hAnsi="Arial"/>
          <w:color w:val="auto"/>
          <w:sz w:val="24"/>
          <w:szCs w:val="24"/>
        </w:rPr>
        <w:t xml:space="preserve">a) o charakterze animacyjnym, edukacyjnym, sieciującym regionalnych i lokalnych partnerów, a także podnoszącym kompetencje w zakresie dywersyfikacji środków i zasobów, mających na celu kompetencyjne i organizacyjne wzmocnienie liderów lokalnych i realizowanych przez nich działań, a w konsekwencji profesjonalizację oraz zwiększenie potencjału organizacji i trwałości oddolnych inicjatyw w społecznościach lokalnych, </w:t>
      </w:r>
    </w:p>
    <w:p>
      <w:pPr>
        <w:pStyle w:val="Default"/>
        <w:spacing w:lineRule="auto" w:line="276"/>
        <w:jc w:val="both"/>
        <w:rPr>
          <w:sz w:val="24"/>
          <w:szCs w:val="24"/>
        </w:rPr>
      </w:pPr>
      <w:r>
        <w:rPr>
          <w:rFonts w:cs="Arial" w:ascii="Arial" w:hAnsi="Arial"/>
          <w:color w:val="auto"/>
          <w:sz w:val="24"/>
          <w:szCs w:val="24"/>
        </w:rPr>
        <w:t xml:space="preserve">b) sieciującym – mających na celu tworzenie nowych i wzmacnianie istniejących sieci MiŚLOP. </w:t>
      </w:r>
    </w:p>
    <w:p>
      <w:pPr>
        <w:pStyle w:val="Default"/>
        <w:spacing w:lineRule="auto" w:line="276"/>
        <w:jc w:val="both"/>
        <w:rPr>
          <w:rFonts w:ascii="Arial" w:hAnsi="Arial" w:cs="Arial"/>
          <w:sz w:val="24"/>
          <w:szCs w:val="24"/>
        </w:rPr>
      </w:pPr>
      <w:r>
        <w:rPr>
          <w:rFonts w:cs="Arial" w:ascii="Arial" w:hAnsi="Arial"/>
          <w:sz w:val="24"/>
          <w:szCs w:val="24"/>
        </w:rPr>
      </w:r>
    </w:p>
    <w:p>
      <w:pPr>
        <w:pStyle w:val="Normal"/>
        <w:spacing w:lineRule="auto" w:line="276"/>
        <w:jc w:val="both"/>
        <w:rPr>
          <w:sz w:val="24"/>
          <w:szCs w:val="24"/>
        </w:rPr>
      </w:pPr>
      <w:r>
        <w:rPr>
          <w:rFonts w:cs="Arial" w:ascii="Arial" w:hAnsi="Arial"/>
          <w:sz w:val="24"/>
          <w:szCs w:val="24"/>
        </w:rPr>
        <w:t>Wnioskodawca jest zobowiązany do realizacji działań zgodnie z celem konkursu i regulaminem zapewniając:</w:t>
      </w:r>
    </w:p>
    <w:p>
      <w:pPr>
        <w:pStyle w:val="Normal"/>
        <w:jc w:val="both"/>
        <w:rPr>
          <w:sz w:val="24"/>
          <w:szCs w:val="24"/>
        </w:rPr>
      </w:pPr>
      <w:r>
        <w:rPr>
          <w:rFonts w:cs="Arial" w:ascii="Arial" w:hAnsi="Arial"/>
          <w:sz w:val="24"/>
          <w:szCs w:val="24"/>
        </w:rPr>
        <w:t>a) minimalną liczbę uczestników każdego projektu w liczbie 19 osób. Jedna osoba może wziąć udział w kilku działaniach w projekcie, natomiast jest liczona tylko 1 raz jako osoba;</w:t>
      </w:r>
    </w:p>
    <w:p>
      <w:pPr>
        <w:pStyle w:val="Normal"/>
        <w:jc w:val="both"/>
        <w:rPr>
          <w:sz w:val="24"/>
          <w:szCs w:val="24"/>
        </w:rPr>
      </w:pPr>
      <w:r>
        <w:rPr>
          <w:rFonts w:cs="Arial" w:ascii="Arial" w:hAnsi="Arial"/>
          <w:sz w:val="24"/>
          <w:szCs w:val="24"/>
        </w:rPr>
        <w:t>b) dotarcie z informacją o projekcie do minimum 100 osób. Beneficjenci pośredni</w:t>
      </w:r>
      <w:r>
        <w:rPr>
          <w:rFonts w:cs="Arial" w:ascii="Arial" w:hAnsi="Arial"/>
          <w:iCs/>
          <w:sz w:val="24"/>
          <w:szCs w:val="24"/>
        </w:rPr>
        <w:t xml:space="preserve"> to osoby, które nie uczestniczą bezpośrednio w działaniach projektu, lecz korzystają z jego rezultatów lub do których docierają informacje o projekcie, </w:t>
      </w:r>
      <w:r>
        <w:rPr>
          <w:rFonts w:cs="Arial" w:ascii="Arial" w:hAnsi="Arial"/>
          <w:sz w:val="24"/>
          <w:szCs w:val="24"/>
        </w:rPr>
        <w:t>(za pośrednictwem mediów społecznościowych, stron internetowych czy lokalnych mediów, co potwierdzą statystyki, screeny, wydruki itp.).</w:t>
      </w:r>
    </w:p>
    <w:p>
      <w:pPr>
        <w:pStyle w:val="Normal"/>
        <w:jc w:val="both"/>
        <w:rPr>
          <w:sz w:val="24"/>
          <w:szCs w:val="24"/>
        </w:rPr>
      </w:pPr>
      <w:r>
        <w:rPr>
          <w:rFonts w:cs="Arial" w:ascii="Arial" w:hAnsi="Arial"/>
          <w:sz w:val="24"/>
          <w:szCs w:val="24"/>
        </w:rPr>
        <w:t xml:space="preserve">c) w przypadku projektów realizowanych przez MIŚLOP - odbycie i ukończenie przez min. 2 osoby (członków MiŚLOP) kursu na platformie e-learningowej nt. Budowanie odporności społeczne na kryzysy. Dostęp do platformy edukacyjnej udostępni i opłaca Operator. Udział zostanie potwierdzony certyfikatem zdobycia wiedzy z zakresu odporności na sytuacje kryzysowe.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6. W ramach projektu planuje się dofinansowanie minimum 96 inicjatyw (po 48 u każdego z Operatorów) zrealizowanych przez</w:t>
      </w:r>
      <w:r>
        <w:rPr>
          <w:rFonts w:eastAsia="Times New Roman" w:cs="Arial" w:ascii="Arial" w:hAnsi="Arial"/>
          <w:b/>
          <w:bCs/>
          <w:color w:themeColor="text1" w:val="000000"/>
          <w:sz w:val="24"/>
          <w:szCs w:val="24"/>
        </w:rPr>
        <w:t xml:space="preserve"> </w:t>
      </w:r>
      <w:r>
        <w:rPr>
          <w:rFonts w:cs="Arial" w:ascii="Arial" w:hAnsi="Arial"/>
          <w:bCs/>
          <w:color w:themeColor="text1" w:val="000000"/>
          <w:sz w:val="24"/>
          <w:szCs w:val="24"/>
        </w:rPr>
        <w:t>małe i średnie lokalne organizacje pozarządowe (</w:t>
      </w:r>
      <w:r>
        <w:rPr>
          <w:rFonts w:cs="Arial" w:ascii="Arial" w:hAnsi="Arial"/>
          <w:color w:themeColor="text1" w:val="000000"/>
          <w:sz w:val="24"/>
          <w:szCs w:val="24"/>
        </w:rPr>
        <w:t>MiŚLOP) i grupy nieformalne w ramach przyznanych przez Operatorów grantów.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7. Operatorzy będą udzielać wsparcia:</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MIŚLOP, korzystając z narzędzia w postaci mikrodotacji;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 xml:space="preserve">lokalnym przedsięwzięciom wykonywanym/podejmowanym i prowadzonym przez grupy nieformalne, działające na terenach wiejskich lub w małych i średnich miastach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oraz prowadzić działania o charakterze animacyjnym i edukacyjnym, mające na celu profesjonalizację, zwiększenie potencjału i trwałości oddolnych inicjatyw w społecznościach lokalnych przez wzmocnienie kompetencyjne i organizacyjne liderów lokalnych i realizowanych przez nich działań.</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8. Maksymalna kwota wnioskowanej mikrodotacji uzależniona jest od typu realizowanego projektu:</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val="auto"/>
          <w:sz w:val="24"/>
          <w:szCs w:val="24"/>
        </w:rPr>
        <w:t>a) grupy z Patronem lub bez patrona - kwota 5 000 zł; minimum 2 działania zwiększające odporność na kryzysy - planowanych jest max. 16 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val="auto"/>
          <w:sz w:val="24"/>
          <w:szCs w:val="24"/>
        </w:rPr>
        <w:t xml:space="preserve">b) MIŚLOP, które zaplanują minimum 1 działanie zwiększające odporność na kryzysy i zakup sprzętu – 7 500 zł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val="auto"/>
          <w:sz w:val="24"/>
          <w:szCs w:val="24"/>
        </w:rPr>
        <w:t xml:space="preserve">lub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val="auto"/>
          <w:sz w:val="24"/>
          <w:szCs w:val="24"/>
        </w:rPr>
        <w:t>2 działania zwiększające odporność na kryzysy bez zakupu sprzętu - 7 500 zł.</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rFonts w:ascii="Arial" w:hAnsi="Arial" w:cs="Arial"/>
          <w:sz w:val="24"/>
          <w:szCs w:val="24"/>
        </w:rPr>
      </w:pPr>
      <w:r>
        <w:rPr>
          <w:rFonts w:cs="Arial" w:ascii="Arial" w:hAnsi="Arial"/>
          <w:sz w:val="24"/>
          <w:szCs w:val="24"/>
        </w:rPr>
      </w:r>
    </w:p>
    <w:p>
      <w:pPr>
        <w:pStyle w:val="Normal"/>
        <w:jc w:val="both"/>
        <w:rPr>
          <w:sz w:val="24"/>
          <w:szCs w:val="24"/>
        </w:rPr>
      </w:pPr>
      <w:r>
        <w:rPr>
          <w:rFonts w:cs="Arial" w:ascii="Arial" w:hAnsi="Arial"/>
          <w:sz w:val="24"/>
          <w:szCs w:val="24"/>
        </w:rPr>
        <w:t>c) MIŚLOP, które zaplanują minimum 1 działanie zwiększające odporność na kryzysy w projekcie oraz dodatkowo 1 działanie sieciujące, angażujące minimum 3 partnerów (w tym minimum 2 podmioty spoza terenu gminy, w której jest siedziba wnioskodawcy),  przy czym przedstawiciele wszystkich partnerów muszą być zaangażowani merytorycznie w działanie sieciujące. MIŚLOP może wnioskować o kwotę 10 000 zł. W tym typie projektu możliwe jest również przeznaczenie maks. 50% mikrodotacji na rozwój instytucjonalny MIŚLOP. Partner nie może być podwykonawcą i nie może świadczyć odpłatnych usług na rzecz projektu.</w:t>
      </w:r>
    </w:p>
    <w:p>
      <w:pPr>
        <w:pStyle w:val="Normal"/>
        <w:jc w:val="both"/>
        <w:rPr>
          <w:sz w:val="24"/>
          <w:szCs w:val="24"/>
        </w:rPr>
      </w:pPr>
      <w:r>
        <w:rPr>
          <w:rFonts w:cs="Arial" w:ascii="Arial" w:hAnsi="Arial"/>
          <w:sz w:val="24"/>
          <w:szCs w:val="24"/>
        </w:rPr>
        <w:t>Planowanych jest min. 16 dotacji;</w:t>
      </w:r>
    </w:p>
    <w:p>
      <w:pPr>
        <w:pStyle w:val="Default"/>
        <w:jc w:val="both"/>
        <w:rPr>
          <w:rFonts w:ascii="Arial" w:hAnsi="Arial" w:cs="Arial"/>
          <w:color w:val="FFFF6D"/>
          <w:sz w:val="24"/>
          <w:szCs w:val="24"/>
        </w:rPr>
      </w:pPr>
      <w:r>
        <w:rPr>
          <w:rFonts w:cs="Arial" w:ascii="Arial" w:hAnsi="Arial"/>
          <w:color w:val="FFFF6D"/>
          <w:sz w:val="24"/>
          <w:szCs w:val="24"/>
        </w:rPr>
      </w:r>
    </w:p>
    <w:p>
      <w:pPr>
        <w:pStyle w:val="Default"/>
        <w:jc w:val="both"/>
        <w:rPr/>
      </w:pPr>
      <w:r>
        <w:rPr>
          <w:rFonts w:cs="Arial" w:ascii="Arial" w:hAnsi="Arial"/>
          <w:sz w:val="24"/>
          <w:szCs w:val="24"/>
        </w:rPr>
        <w:t xml:space="preserve">Możliwa jest realizacja projektów na terenie szkół poza działaniami związanymi ze statutową działalnością szkoły, jak np. </w:t>
      </w:r>
      <w:r>
        <w:rPr>
          <w:rStyle w:val="Strong"/>
          <w:rFonts w:cs="Arial" w:ascii="Arial" w:hAnsi="Arial"/>
          <w:b w:val="false"/>
          <w:bCs w:val="false"/>
          <w:sz w:val="24"/>
          <w:szCs w:val="24"/>
        </w:rPr>
        <w:t>ćwiczenia z próbnej ewakuacji, które stanowią ustawowy obowiązek.</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val="auto"/>
          <w:sz w:val="24"/>
          <w:szCs w:val="24"/>
        </w:rPr>
        <w:t xml:space="preserve">9. Nabór wniosków planowany jest w trybie ciągłym i będzie prowadzony do wyczerpania środków. Wnioski można składać od  dnia wskazanego w ogłoszeniu </w:t>
      </w:r>
    </w:p>
    <w:p>
      <w:pPr>
        <w:pStyle w:val="Default"/>
        <w:shd w:val="clear" w:color="auto" w:fill="FFFFFF" w:themeFill="background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18"/>
        <w:jc w:val="both"/>
        <w:rPr>
          <w:sz w:val="24"/>
          <w:szCs w:val="24"/>
        </w:rPr>
      </w:pPr>
      <w:r>
        <w:rPr>
          <w:rFonts w:cs="Arial" w:ascii="Arial" w:hAnsi="Arial"/>
          <w:color w:themeColor="text1" w:val="000000"/>
          <w:sz w:val="24"/>
          <w:szCs w:val="24"/>
        </w:rPr>
        <w:t>10. W konkursie mogą wziąć udział MIŚLOP, które mają siedzibę w województwie kujawsko-pomorskim oraz grupy planujące prowadzić działania na terenie jednej lub wielu gmin w miejscowościach liczących nie więcej niż 100 000 mieszkańców z terenu województwa kujawsko-pomorskiego.</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shd w:fill="auto" w:val="clear"/>
        </w:rPr>
        <w:t xml:space="preserve">11. Projekt jest realizowany w okresie </w:t>
      </w:r>
      <w:r>
        <w:rPr>
          <w:rFonts w:cs="Arial" w:ascii="Arial" w:hAnsi="Arial"/>
          <w:sz w:val="24"/>
          <w:szCs w:val="24"/>
          <w:shd w:fill="auto" w:val="clear"/>
        </w:rPr>
        <w:t>od 3-09-2026</w:t>
      </w:r>
      <w:r>
        <w:rPr>
          <w:rFonts w:cs="Arial" w:ascii="Arial" w:hAnsi="Arial"/>
          <w:color w:val="auto"/>
          <w:sz w:val="24"/>
          <w:szCs w:val="24"/>
          <w:shd w:fill="auto" w:val="clear"/>
        </w:rPr>
        <w:t xml:space="preserve"> do</w:t>
      </w:r>
      <w:r>
        <w:rPr>
          <w:rFonts w:cs="Arial" w:ascii="Arial" w:hAnsi="Arial"/>
          <w:color w:val="auto"/>
          <w:sz w:val="24"/>
          <w:szCs w:val="24"/>
        </w:rPr>
        <w:t xml:space="preserve"> 30-11-2026 r.</w:t>
      </w:r>
      <w:r>
        <w:rPr>
          <w:rFonts w:cs="Arial" w:ascii="Arial" w:hAnsi="Arial"/>
          <w:color w:themeColor="text1" w:val="000000"/>
          <w:sz w:val="24"/>
          <w:szCs w:val="24"/>
        </w:rPr>
        <w:t xml:space="preserv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rPr>
        <w:t>12. Instytucją Zarządzającą w ramach niniejszego projektu jest Narodowy Instytut Wolności – Centrum Rozwoju Społeczeństwa Obywatelskiego (NIW-CRSO).</w:t>
        <w:b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pic:cNvPicPr>
                      <a:picLocks noChangeAspect="1" noChangeArrowheads="1"/>
                    </pic:cNvPicPr>
                  </pic:nvPicPr>
                  <pic:blipFill>
                    <a:blip r:embed="rId4"/>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II PODMIOTY UPRAWNIONE ORAZ PRZEZNACZENIE MIKRODOTACJI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5"/>
                    <pic:cNvPicPr>
                      <a:picLocks noChangeAspect="1" noChangeArrowheads="1"/>
                    </pic:cNvPicPr>
                  </pic:nvPicPr>
                  <pic:blipFill>
                    <a:blip r:embed="rId5"/>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color w:themeColor="text1" w:val="000000"/>
          <w:sz w:val="24"/>
          <w:szCs w:val="24"/>
        </w:rPr>
      </w:pPr>
      <w:r>
        <w:rPr>
          <w:rFonts w:cs="Arial" w:ascii="Arial" w:hAnsi="Arial"/>
          <w:color w:themeColor="text1" w:val="000000"/>
          <w:sz w:val="24"/>
          <w:szCs w:val="24"/>
        </w:rPr>
      </w:r>
    </w:p>
    <w:p>
      <w:pPr>
        <w:pStyle w:val="ListParagraph"/>
        <w:ind w:left="0"/>
        <w:jc w:val="both"/>
        <w:rPr>
          <w:sz w:val="24"/>
          <w:szCs w:val="24"/>
        </w:rPr>
      </w:pPr>
      <w:r>
        <w:rPr>
          <w:rFonts w:cs="Arial" w:ascii="Arial" w:hAnsi="Arial"/>
          <w:sz w:val="24"/>
          <w:szCs w:val="24"/>
        </w:rPr>
        <w:t xml:space="preserve">1. Podmiotami uprawnionymi do składania wniosków o mikrodotacje w konkursie „Moc Małych Społeczności - Kujawsko-Pomorskie” w ramach projektu „Inicjuj w małych społecznościach 2.0” są: </w:t>
      </w:r>
    </w:p>
    <w:p>
      <w:pPr>
        <w:pStyle w:val="ListParagraph"/>
        <w:ind w:left="0"/>
        <w:jc w:val="both"/>
        <w:rPr>
          <w:rFonts w:ascii="Arial" w:hAnsi="Arial" w:cs="Arial"/>
          <w:sz w:val="24"/>
          <w:szCs w:val="24"/>
        </w:rPr>
      </w:pPr>
      <w:r>
        <w:rPr>
          <w:rFonts w:cs="Arial" w:ascii="Arial" w:hAnsi="Arial"/>
          <w:sz w:val="24"/>
          <w:szCs w:val="24"/>
        </w:rPr>
      </w:r>
    </w:p>
    <w:p>
      <w:pPr>
        <w:pStyle w:val="Normal"/>
        <w:jc w:val="both"/>
        <w:rPr>
          <w:sz w:val="24"/>
          <w:szCs w:val="24"/>
        </w:rPr>
      </w:pPr>
      <w:r>
        <w:rPr>
          <w:rFonts w:cs="Arial" w:ascii="Arial" w:hAnsi="Arial"/>
          <w:color w:themeColor="text1" w:val="000000"/>
          <w:sz w:val="24"/>
          <w:szCs w:val="24"/>
        </w:rPr>
        <w:t xml:space="preserve">a) Małe i średnie lokalne organizacje pozarządowe (dalej: MiŚLOP) - Organizacje pozarządowe oraz podmioty, o których mowa w art. 3 ust. 3 UoDPPiW, których średni roczny przychód z trzech ostatnich zamkniętych lat budżetowych nie przekroczył 200.000 zł oraz zarejestrowane i prowadzące działalność na terenach wiejskich lub w miejscowościach liczących nie więcej niż 100 000 mieszkańców. </w:t>
      </w:r>
      <w:r>
        <w:rPr>
          <w:rFonts w:cs="Arial" w:ascii="Arial" w:hAnsi="Arial"/>
          <w:sz w:val="24"/>
          <w:szCs w:val="24"/>
        </w:rPr>
        <w:t>Przychód to wartość uzyskana przez organizację w ramach wszystkich działalności (nieodpłatnej i odpłatnej pożytku publicznego oraz działalności gospodarczej). Do przychodu wliczane są także dotacje uzyskane ze źródeł zewnętrznych.</w:t>
      </w:r>
    </w:p>
    <w:p>
      <w:pPr>
        <w:pStyle w:val="Normal"/>
        <w:jc w:val="both"/>
        <w:rPr>
          <w:sz w:val="24"/>
          <w:szCs w:val="24"/>
        </w:rPr>
      </w:pPr>
      <w:r>
        <w:rPr>
          <w:rFonts w:cs="Arial" w:ascii="Arial" w:hAnsi="Arial"/>
          <w:sz w:val="24"/>
          <w:szCs w:val="24"/>
        </w:rPr>
        <w:t>b) Grupy nieformalne - to nie mniej niż trzy pełnoletnie osoby, wspólnie realizujące lub chcące realizować działania w sferze pożytku publicznego, które nie realizują tych działań poprzez organizację posiadającą osobowość prawną</w:t>
      </w:r>
      <w:r>
        <w:rPr>
          <w:rFonts w:cs="Arial" w:ascii="Arial" w:hAnsi="Arial"/>
          <w:color w:themeColor="text1" w:val="000000"/>
          <w:sz w:val="24"/>
          <w:szCs w:val="24"/>
        </w:rPr>
        <w:t xml:space="preserve"> lub będącą jednostką organizacyjną, o której mowa w art. 331 § 1 Kodeksu Cywilnego. Grupa taka może ubiegać się o wsparcie realizacji lokalnego przedsięwzięcia mieszczącego się w sferze zadań publicznych określonej w art. 4 UoDPPiW samodzielnie (bezpośrednio) lub wspólnie z inną organizacją pozarządową (tzw. patronem). </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0"/>
        <w:jc w:val="both"/>
        <w:rPr>
          <w:sz w:val="24"/>
          <w:szCs w:val="24"/>
        </w:rPr>
      </w:pPr>
      <w:r>
        <w:rPr>
          <w:rFonts w:cs="Arial" w:ascii="Arial" w:hAnsi="Arial"/>
          <w:color w:themeColor="text1" w:val="000000"/>
          <w:sz w:val="24"/>
          <w:szCs w:val="24"/>
        </w:rPr>
        <w:t xml:space="preserve">c) Organizacja pozarządowa (tzw. patron) - </w:t>
      </w:r>
      <w:r>
        <w:rPr>
          <w:rFonts w:cs="Arial" w:ascii="Arial" w:hAnsi="Arial"/>
          <w:sz w:val="24"/>
          <w:szCs w:val="24"/>
        </w:rPr>
        <w:t xml:space="preserve">to organizacja pozarządowa lub podmiot wymieniony w art. 3 ust. 3 UoDPPiW, mający siedzibę lub jednostkę organizacyjną w </w:t>
      </w:r>
      <w:r>
        <w:rPr>
          <w:rFonts w:cs="Arial" w:ascii="Arial" w:hAnsi="Arial"/>
          <w:color w:themeColor="text1" w:val="000000"/>
          <w:sz w:val="24"/>
          <w:szCs w:val="24"/>
        </w:rPr>
        <w:t xml:space="preserve">województwie objętym projektem lub/i prowadzi działania statutowe na rzecz wspierania grup nieformalnych na terenie całego kraju, która może ubiegać się o przyznanie mikrodotacji na realizację projektu, dzięki któremu konkretna grupa nieformalna (osoby wchodzące w jej skład muszą być wskazane we wniosku o mikrodotację) będzie miała możliwość realizacji lokalnego przedsięwzięcia. Patron, który otrzyma mikrodotację na wsparcie realizacji lokalnego przedsięwzięcia przez grupę nieformalną to realizator projektu, o którym mowa w art. 2 pkt. 6 UoDPPiW. </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hanging="284" w:left="142"/>
        <w:jc w:val="both"/>
        <w:rPr>
          <w:sz w:val="24"/>
          <w:szCs w:val="24"/>
        </w:rPr>
      </w:pPr>
      <w:r>
        <w:rPr>
          <w:rFonts w:cs="Arial" w:ascii="Arial" w:hAnsi="Arial"/>
          <w:color w:themeColor="text1" w:val="000000"/>
          <w:sz w:val="24"/>
          <w:szCs w:val="24"/>
        </w:rPr>
        <w:t xml:space="preserve">2. Patron może otrzymać mikrodotację </w:t>
      </w:r>
      <w:r>
        <w:rPr>
          <w:rFonts w:eastAsia="Times New Roman" w:cs="Arial" w:ascii="Arial" w:hAnsi="Arial"/>
          <w:color w:themeColor="text1" w:val="000000"/>
          <w:sz w:val="24"/>
          <w:szCs w:val="24"/>
        </w:rPr>
        <w:t>wyłącznie na realizację określonego lokalnego przedsięwzięcia przez konkretną (możliwą do zidentyfikowania na etapie składania wniosku) grupę nieformalną. Potrzeba realizacji tego przedsięwzięcia powinna zostać wskazana przez grupę (min. 3 osoby). Projekt złożony przez Patrona musi być odpowiedzią na potrzeby zgłaszane przez grupę nieformalną oraz musi gwarantować realizację lokalnego przedsięwzięcia przez jej członków. Patron nie może realizować projektu na rzecz członków grupy nieformalnej pełniących funkcje w organach statutowych organizacji pozarządowych.</w:t>
      </w:r>
    </w:p>
    <w:p>
      <w:pPr>
        <w:pStyle w:val="Akapitzlist1"/>
        <w:tabs>
          <w:tab w:val="clear" w:pos="720"/>
          <w:tab w:val="left" w:pos="708" w:leader="none"/>
        </w:tabs>
        <w:spacing w:lineRule="auto" w:line="276"/>
        <w:ind w:left="0"/>
        <w:jc w:val="both"/>
        <w:rPr>
          <w:sz w:val="24"/>
          <w:szCs w:val="24"/>
        </w:rPr>
      </w:pPr>
      <w:r>
        <w:rPr>
          <w:rFonts w:cs="Arial" w:ascii="Arial" w:hAnsi="Arial"/>
          <w:color w:themeColor="text1" w:val="000000"/>
          <w:sz w:val="24"/>
          <w:szCs w:val="24"/>
        </w:rPr>
        <w:t xml:space="preserve">3. </w:t>
      </w:r>
      <w:r>
        <w:rPr>
          <w:rFonts w:cs="Arial" w:ascii="Arial" w:hAnsi="Arial"/>
          <w:b/>
          <w:color w:themeColor="text1" w:val="000000"/>
          <w:sz w:val="24"/>
          <w:szCs w:val="24"/>
        </w:rPr>
        <w:t xml:space="preserve">MIŚLOP </w:t>
      </w:r>
      <w:r>
        <w:rPr>
          <w:rFonts w:cs="Arial" w:ascii="Arial" w:hAnsi="Arial"/>
          <w:color w:themeColor="text1" w:val="000000"/>
          <w:sz w:val="24"/>
          <w:szCs w:val="24"/>
        </w:rPr>
        <w:t>wydatkuje mikrodotację na realizację zadania mieszczącego się w zakresie sfer działalności pożytku publicznego. Działania realizowane w ramach mikrodotacji powinny służyć rozwojowi aktywności i integracji społecznej oraz zwiększeniu odporności społeczności lokalnych na kryzysy.</w:t>
      </w:r>
    </w:p>
    <w:p>
      <w:pPr>
        <w:pStyle w:val="Akapitzlist1"/>
        <w:tabs>
          <w:tab w:val="clear" w:pos="720"/>
          <w:tab w:val="left" w:pos="708" w:leader="none"/>
        </w:tabs>
        <w:spacing w:lineRule="auto" w:line="276"/>
        <w:ind w:left="0"/>
        <w:jc w:val="both"/>
        <w:rPr>
          <w:rFonts w:ascii="Arial" w:hAnsi="Arial" w:cs="Arial"/>
          <w:color w:themeColor="text1" w:val="000000"/>
          <w:sz w:val="24"/>
          <w:szCs w:val="24"/>
          <w:u w:val="single"/>
        </w:rPr>
      </w:pPr>
      <w:r>
        <w:rPr>
          <w:rFonts w:cs="Arial" w:ascii="Arial" w:hAnsi="Arial"/>
          <w:color w:themeColor="text1" w:val="000000"/>
          <w:sz w:val="24"/>
          <w:szCs w:val="24"/>
          <w:u w:val="single"/>
        </w:rPr>
      </w:r>
    </w:p>
    <w:p>
      <w:pPr>
        <w:pStyle w:val="Akapitzlist1"/>
        <w:tabs>
          <w:tab w:val="clear" w:pos="720"/>
          <w:tab w:val="left" w:pos="708" w:leader="none"/>
        </w:tabs>
        <w:spacing w:lineRule="auto" w:line="276"/>
        <w:ind w:left="0"/>
        <w:jc w:val="both"/>
        <w:rPr>
          <w:sz w:val="24"/>
          <w:szCs w:val="24"/>
        </w:rPr>
      </w:pPr>
      <w:r>
        <w:rPr>
          <w:rFonts w:cs="Arial" w:ascii="Arial" w:hAnsi="Arial"/>
          <w:color w:themeColor="text1" w:val="000000"/>
          <w:sz w:val="24"/>
          <w:szCs w:val="24"/>
          <w:u w:val="single"/>
        </w:rPr>
        <w:t>Do 50% mikrodotacji może być przeznaczone na rozwój instytucjonalny MIŚLOP</w:t>
      </w:r>
      <w:r>
        <w:rPr>
          <w:rFonts w:cs="Arial" w:ascii="Arial" w:hAnsi="Arial"/>
          <w:color w:themeColor="text1" w:val="000000"/>
          <w:sz w:val="24"/>
          <w:szCs w:val="24"/>
        </w:rPr>
        <w:t>.</w:t>
      </w:r>
    </w:p>
    <w:p>
      <w:pPr>
        <w:pStyle w:val="Akapitzlist1"/>
        <w:tabs>
          <w:tab w:val="clear" w:pos="720"/>
          <w:tab w:val="left" w:pos="708" w:leader="none"/>
        </w:tabs>
        <w:spacing w:lineRule="auto" w:line="276"/>
        <w:ind w:left="0"/>
        <w:jc w:val="both"/>
        <w:rPr>
          <w:rFonts w:ascii="Arial" w:hAnsi="Arial" w:cs="Arial"/>
          <w:color w:themeColor="text1" w:val="000000"/>
          <w:sz w:val="24"/>
          <w:szCs w:val="24"/>
        </w:rPr>
      </w:pPr>
      <w:r>
        <w:rPr>
          <w:rFonts w:cs="Arial" w:ascii="Arial" w:hAnsi="Arial"/>
          <w:color w:themeColor="text1" w:val="000000"/>
          <w:sz w:val="24"/>
          <w:szCs w:val="24"/>
        </w:rPr>
      </w:r>
    </w:p>
    <w:p>
      <w:pPr>
        <w:pStyle w:val="Akapitzlist1"/>
        <w:tabs>
          <w:tab w:val="clear" w:pos="720"/>
          <w:tab w:val="left" w:pos="708" w:leader="none"/>
        </w:tabs>
        <w:spacing w:lineRule="auto" w:line="276"/>
        <w:ind w:left="0"/>
        <w:jc w:val="both"/>
        <w:rPr>
          <w:sz w:val="24"/>
          <w:szCs w:val="24"/>
        </w:rPr>
      </w:pPr>
      <w:r>
        <w:rPr>
          <w:rFonts w:cs="Arial" w:ascii="Arial" w:hAnsi="Arial"/>
          <w:color w:themeColor="text1" w:val="000000"/>
          <w:sz w:val="24"/>
          <w:szCs w:val="24"/>
        </w:rPr>
        <w:t>Limit na koszty administracyjne wynosi 25%.</w:t>
      </w:r>
    </w:p>
    <w:p>
      <w:pPr>
        <w:pStyle w:val="Akapitzlist1"/>
        <w:tabs>
          <w:tab w:val="clear" w:pos="720"/>
          <w:tab w:val="left" w:pos="708" w:leader="none"/>
        </w:tabs>
        <w:spacing w:lineRule="auto" w:line="276"/>
        <w:ind w:left="360"/>
        <w:jc w:val="both"/>
        <w:rPr>
          <w:rFonts w:ascii="Arial" w:hAnsi="Arial" w:cs="Arial"/>
          <w:color w:themeColor="text1" w:val="000000"/>
          <w:sz w:val="24"/>
          <w:szCs w:val="24"/>
        </w:rPr>
      </w:pPr>
      <w:r>
        <w:rPr>
          <w:rFonts w:cs="Arial" w:ascii="Arial" w:hAnsi="Arial"/>
          <w:color w:themeColor="text1" w:val="000000"/>
          <w:sz w:val="24"/>
          <w:szCs w:val="24"/>
        </w:rPr>
      </w:r>
    </w:p>
    <w:p>
      <w:pPr>
        <w:pStyle w:val="Akapitzlist1"/>
        <w:tabs>
          <w:tab w:val="clear" w:pos="720"/>
          <w:tab w:val="left" w:pos="708" w:leader="none"/>
        </w:tabs>
        <w:spacing w:lineRule="auto" w:line="276"/>
        <w:ind w:left="0"/>
        <w:jc w:val="both"/>
        <w:rPr>
          <w:sz w:val="24"/>
          <w:szCs w:val="24"/>
        </w:rPr>
      </w:pPr>
      <w:r>
        <w:rPr>
          <w:rFonts w:cs="Arial" w:ascii="Arial" w:hAnsi="Arial"/>
          <w:color w:themeColor="text1" w:val="000000"/>
          <w:sz w:val="24"/>
          <w:szCs w:val="24"/>
        </w:rPr>
        <w:t xml:space="preserve">4. </w:t>
      </w:r>
      <w:r>
        <w:rPr>
          <w:rFonts w:cs="Arial" w:ascii="Arial" w:hAnsi="Arial"/>
          <w:b/>
          <w:color w:themeColor="text1" w:val="000000"/>
          <w:sz w:val="24"/>
          <w:szCs w:val="24"/>
        </w:rPr>
        <w:t>Grupa nieformalna</w:t>
      </w:r>
      <w:r>
        <w:rPr>
          <w:rFonts w:cs="Arial" w:ascii="Arial" w:hAnsi="Arial"/>
          <w:color w:themeColor="text1" w:val="000000"/>
          <w:sz w:val="24"/>
          <w:szCs w:val="24"/>
        </w:rPr>
        <w:t xml:space="preserve"> (z Patronem i bez Patrona) wydatkuje mikrodotację na realizację zadania mieszczącego się w zakresie sfer działalności pożytku publicznego. Działania realizowane w ramach mikrodotacji powinny służyć rozwojowi aktywności i integracji społecznej oraz zwiększeniu odporności społeczności lokalnych na kryzysy.</w:t>
      </w:r>
    </w:p>
    <w:p>
      <w:pPr>
        <w:pStyle w:val="Default"/>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rFonts w:ascii="Arial" w:hAnsi="Arial" w:cs="Arial"/>
          <w:color w:themeColor="text1" w:val="000000"/>
          <w:sz w:val="24"/>
          <w:szCs w:val="24"/>
          <w:u w:val="single"/>
        </w:rPr>
      </w:pPr>
      <w:r>
        <w:rPr>
          <w:rFonts w:cs="Arial" w:ascii="Arial" w:hAnsi="Arial"/>
          <w:color w:themeColor="text1" w:val="000000"/>
          <w:sz w:val="24"/>
          <w:szCs w:val="24"/>
          <w:u w:val="single"/>
        </w:rPr>
      </w:r>
    </w:p>
    <w:p>
      <w:pPr>
        <w:pStyle w:val="Default"/>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u w:val="single"/>
        </w:rPr>
        <w:t>Grupa nie może przeznaczyć środków na rozwój członków grupy</w:t>
      </w:r>
      <w:r>
        <w:rPr>
          <w:rFonts w:cs="Arial" w:ascii="Arial" w:hAnsi="Arial"/>
          <w:color w:themeColor="text1" w:val="000000"/>
          <w:sz w:val="24"/>
          <w:szCs w:val="24"/>
        </w:rPr>
        <w:t xml:space="preserve"> ani na</w:t>
      </w:r>
      <w:r>
        <w:rPr>
          <w:rFonts w:cs="Arial" w:ascii="Arial" w:hAnsi="Arial"/>
          <w:b/>
          <w:color w:themeColor="text1" w:val="000000"/>
          <w:sz w:val="24"/>
          <w:szCs w:val="24"/>
        </w:rPr>
        <w:t xml:space="preserve"> zakup sprzętu</w:t>
      </w:r>
      <w:r>
        <w:rPr>
          <w:rFonts w:cs="Arial" w:ascii="Arial" w:hAnsi="Arial"/>
          <w:color w:themeColor="text1" w:val="000000"/>
          <w:sz w:val="24"/>
          <w:szCs w:val="24"/>
        </w:rPr>
        <w:t>. Limit na koszty administracyjne wynosi 25%.</w:t>
      </w:r>
    </w:p>
    <w:p>
      <w:pPr>
        <w:pStyle w:val="Default"/>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5. W przypadku dofinansowania projektu realizowanego przez grupę nieformalną bez Patrona Operatorzy ponoszą koszty zakupu towarów i usług związanych z realizacją lokalnego przedsięwzięcia przez grupę nieformalną. Operatorzy nie przekazują środków grupie nieformalnej bez Patrona.</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0"/>
        <w:jc w:val="both"/>
        <w:rPr>
          <w:sz w:val="24"/>
          <w:szCs w:val="24"/>
        </w:rPr>
      </w:pPr>
      <w:r>
        <w:rPr>
          <w:rFonts w:cs="Arial" w:ascii="Arial" w:hAnsi="Arial"/>
          <w:b/>
          <w:color w:themeColor="text1" w:val="000000"/>
          <w:sz w:val="24"/>
          <w:szCs w:val="24"/>
        </w:rPr>
        <w:t>2. Podmioty nieuprawnione</w:t>
      </w:r>
      <w:r>
        <w:rPr>
          <w:rFonts w:cs="Arial" w:ascii="Arial" w:hAnsi="Arial"/>
          <w:color w:themeColor="text1" w:val="000000"/>
          <w:sz w:val="24"/>
          <w:szCs w:val="24"/>
        </w:rPr>
        <w:t xml:space="preserve">: </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360"/>
        <w:jc w:val="both"/>
        <w:rPr>
          <w:sz w:val="24"/>
          <w:szCs w:val="24"/>
        </w:rPr>
      </w:pPr>
      <w:r>
        <w:rPr>
          <w:rFonts w:cs="Arial" w:ascii="Arial" w:hAnsi="Arial"/>
          <w:color w:themeColor="text1" w:val="000000"/>
          <w:sz w:val="24"/>
          <w:szCs w:val="24"/>
        </w:rPr>
        <w:t xml:space="preserve">1) organizacje pozarządowe inne niż MIŚLOP oraz grupy nieformalne działające w miastach liczących powyżej 100.000 mieszkańców, a także MIŚLOP i grupy nieformalne realizujące dofinansowane zadanie na terenie miasta liczącego powyżej 100.000 mieszkańców, </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360"/>
        <w:jc w:val="both"/>
        <w:rPr>
          <w:sz w:val="24"/>
          <w:szCs w:val="24"/>
        </w:rPr>
      </w:pPr>
      <w:r>
        <w:rPr>
          <w:rFonts w:cs="Arial" w:ascii="Arial" w:hAnsi="Arial"/>
          <w:color w:themeColor="text1" w:val="000000"/>
          <w:sz w:val="24"/>
          <w:szCs w:val="24"/>
        </w:rPr>
        <w:t>2) MIŚLOP i grupy nieformalne, w których skład wchodzą osoby powiązane (interesami ekonomicznymi, powiązaniami politycznymi, związkami rodzinnymi lub innymi sytuacjami mogącymi mieć wpływ na bezstronne i obiektywne rozstrzygnięcie konkursów dotacyjnych) z członkami władz Operatora udzielającego 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426"/>
        <w:jc w:val="both"/>
        <w:rPr>
          <w:sz w:val="24"/>
          <w:szCs w:val="24"/>
        </w:rPr>
      </w:pPr>
      <w:r>
        <w:rPr>
          <w:rFonts w:cs="Arial" w:ascii="Arial" w:hAnsi="Arial"/>
          <w:sz w:val="24"/>
          <w:szCs w:val="24"/>
        </w:rPr>
        <w:t>3) Ponadto podmiotami nieuprawnionymi do składania wniosków w konkursie „Moc Małych Społeczności - Kujawsko-Pomorskie” w ramach projektu „Inicjuj w małych społecznościach 2.0” są w szczególności podmioty wskazane</w:t>
      </w:r>
      <w:r>
        <w:rPr>
          <w:rFonts w:cs="Arial" w:ascii="Arial" w:hAnsi="Arial"/>
          <w:color w:themeColor="text1" w:val="000000"/>
          <w:sz w:val="24"/>
          <w:szCs w:val="24"/>
        </w:rPr>
        <w:t xml:space="preserve"> w art. 3 ust. 4 UoDPPioW tj. partie polityczne, związki zawodowe i organizacje pracodawców, samorządy zawodowe, a także fundacje utworzone przez partie polityczne, spółki prawa handlowego będące państwowymi lub samorządowymi osobami prawnymi oraz organizacje/grupy niespełniające warunków dostępu.</w:t>
      </w:r>
    </w:p>
    <w:p>
      <w:pPr>
        <w:pStyle w:val="ListParagraph"/>
        <w:ind w:left="426"/>
        <w:jc w:val="both"/>
        <w:rPr>
          <w:sz w:val="24"/>
          <w:szCs w:val="24"/>
        </w:rPr>
      </w:pPr>
      <w:r>
        <w:rPr>
          <w:rFonts w:cs="Arial" w:ascii="Arial" w:hAnsi="Arial"/>
          <w:sz w:val="24"/>
          <w:szCs w:val="24"/>
        </w:rPr>
        <w:t xml:space="preserve">4) W konkursie „Moc Małych Społeczności - Kujawsko-Pomorskie” w ramach projektu „Inicjuj w małych społecznościach 2.0” nie ma możliwości dofinansowania projektów złożonych przez Wnioskodawców, którzy znajdują się na liście beneficjentów przewidzianych do dofinansowania w ramach Priorytetu 1. w programie Moc Małych Społeczności. </w:t>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0"/>
        <w:jc w:val="both"/>
        <w:rPr>
          <w:rFonts w:ascii="Arial" w:hAnsi="Arial" w:cs="Arial"/>
          <w:b/>
          <w:color w:themeColor="text1" w:val="000000"/>
          <w:sz w:val="24"/>
          <w:szCs w:val="24"/>
        </w:rPr>
      </w:pPr>
      <w:r>
        <w:rPr>
          <w:rFonts w:cs="Arial" w:ascii="Arial" w:hAnsi="Arial"/>
          <w:b/>
          <w:color w:themeColor="text1" w:val="000000"/>
          <w:sz w:val="24"/>
          <w:szCs w:val="24"/>
        </w:rPr>
      </w:r>
    </w:p>
    <w:p>
      <w:pPr>
        <w:pStyle w:val="Akapitzlist1"/>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00"/>
        <w:ind w:left="0"/>
        <w:jc w:val="both"/>
        <w:rPr>
          <w:sz w:val="24"/>
          <w:szCs w:val="24"/>
        </w:rPr>
      </w:pPr>
      <w:r>
        <w:rPr>
          <w:rFonts w:cs="Arial" w:ascii="Arial" w:hAnsi="Arial"/>
          <w:b/>
          <w:color w:themeColor="text1" w:val="000000"/>
          <w:sz w:val="24"/>
          <w:szCs w:val="24"/>
        </w:rPr>
        <w:t>3. Rodzaje kosztów</w:t>
      </w:r>
      <w:r>
        <w:rPr>
          <w:rFonts w:cs="Arial" w:ascii="Arial" w:hAnsi="Arial"/>
          <w:color w:themeColor="text1" w:val="000000"/>
          <w:sz w:val="24"/>
          <w:szCs w:val="24"/>
        </w:rPr>
        <w:t xml:space="preserve">: </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0"/>
        <w:jc w:val="both"/>
        <w:rPr>
          <w:rFonts w:ascii="Arial" w:hAnsi="Arial" w:cs="Arial"/>
          <w:bCs/>
          <w:color w:themeColor="text1" w:val="000000"/>
          <w:sz w:val="24"/>
          <w:szCs w:val="24"/>
        </w:rPr>
      </w:pPr>
      <w:r>
        <w:rPr>
          <w:rFonts w:cs="Arial" w:ascii="Arial" w:hAnsi="Arial"/>
          <w:bCs/>
          <w:color w:themeColor="text1" w:val="000000"/>
          <w:sz w:val="24"/>
          <w:szCs w:val="24"/>
        </w:rPr>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0"/>
        <w:jc w:val="both"/>
        <w:rPr>
          <w:sz w:val="24"/>
          <w:szCs w:val="24"/>
        </w:rPr>
      </w:pPr>
      <w:r>
        <w:rPr>
          <w:rFonts w:cs="Arial" w:ascii="Arial" w:hAnsi="Arial"/>
          <w:color w:themeColor="text1" w:val="000000"/>
          <w:sz w:val="24"/>
          <w:szCs w:val="24"/>
        </w:rPr>
        <w:t>1) W przypadku kosztów ponoszonych przez podmioty realizujące działania w ramach mikrodotacji mają zastosowanie następujące zasady kwalifikowalności kosztów:</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284"/>
        <w:jc w:val="both"/>
        <w:rPr>
          <w:sz w:val="24"/>
          <w:szCs w:val="24"/>
        </w:rPr>
      </w:pPr>
      <w:r>
        <w:rPr>
          <w:rFonts w:cs="Arial" w:ascii="Arial" w:hAnsi="Arial"/>
          <w:color w:themeColor="text1" w:val="000000"/>
          <w:sz w:val="24"/>
          <w:szCs w:val="24"/>
        </w:rPr>
        <w:t>I. Koszty merytoryczne, w tym koszty promocji - brak limitu;</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284"/>
        <w:jc w:val="both"/>
        <w:rPr>
          <w:sz w:val="24"/>
          <w:szCs w:val="24"/>
        </w:rPr>
      </w:pPr>
      <w:r>
        <w:rPr>
          <w:rFonts w:cs="Arial" w:ascii="Arial" w:hAnsi="Arial"/>
          <w:color w:themeColor="text1" w:val="000000"/>
          <w:sz w:val="24"/>
          <w:szCs w:val="24"/>
        </w:rPr>
        <w:t xml:space="preserve">II. Koszty związane z rozwojem instytucjonalnym MiŚLOP – do 50% mikrodotacji, </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284"/>
        <w:jc w:val="both"/>
        <w:rPr>
          <w:rFonts w:ascii="Arial" w:hAnsi="Arial" w:cs="Arial"/>
          <w:color w:themeColor="text1" w:val="000000"/>
          <w:sz w:val="24"/>
          <w:szCs w:val="24"/>
        </w:rPr>
      </w:pPr>
      <w:r>
        <w:rPr>
          <w:rFonts w:cs="Arial" w:ascii="Arial" w:hAnsi="Arial"/>
          <w:color w:themeColor="text1" w:val="000000"/>
          <w:sz w:val="24"/>
          <w:szCs w:val="24"/>
        </w:rPr>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284"/>
        <w:jc w:val="both"/>
        <w:rPr>
          <w:sz w:val="24"/>
          <w:szCs w:val="24"/>
        </w:rPr>
      </w:pPr>
      <w:r>
        <w:rPr>
          <w:rFonts w:cs="Arial" w:ascii="Arial" w:hAnsi="Arial"/>
          <w:color w:themeColor="text1" w:val="000000"/>
          <w:sz w:val="24"/>
          <w:szCs w:val="24"/>
        </w:rPr>
        <w:t xml:space="preserve">III. Koszty obsługi zadania publicznego, w tym koszty administracyjne – maks. 25% mikrodotacji. </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0"/>
        <w:jc w:val="both"/>
        <w:rPr>
          <w:rFonts w:ascii="Arial" w:hAnsi="Arial" w:cs="Arial"/>
          <w:color w:themeColor="text1" w:val="000000"/>
          <w:sz w:val="24"/>
          <w:szCs w:val="24"/>
        </w:rPr>
      </w:pPr>
      <w:r>
        <w:rPr>
          <w:rFonts w:cs="Arial" w:ascii="Arial" w:hAnsi="Arial"/>
          <w:color w:themeColor="text1" w:val="000000"/>
          <w:sz w:val="24"/>
          <w:szCs w:val="24"/>
        </w:rPr>
      </w:r>
    </w:p>
    <w:p>
      <w:pPr>
        <w:pStyle w:val="Akapitzlist1"/>
        <w:tabs>
          <w:tab w:val="clear" w:pos="720"/>
          <w:tab w:val="left" w:pos="708" w:leader="none"/>
        </w:tabs>
        <w:spacing w:lineRule="auto" w:line="276"/>
        <w:ind w:left="0"/>
        <w:jc w:val="both"/>
        <w:rPr/>
      </w:pPr>
      <w:r>
        <w:rPr>
          <w:rStyle w:val="Strong"/>
          <w:rFonts w:cs="Arial" w:ascii="Arial" w:hAnsi="Arial"/>
          <w:b w:val="false"/>
          <w:bCs w:val="false"/>
          <w:color w:themeColor="text1" w:val="000000"/>
          <w:sz w:val="24"/>
          <w:szCs w:val="24"/>
        </w:rPr>
        <w:t xml:space="preserve">2) </w:t>
      </w:r>
      <w:r>
        <w:rPr>
          <w:rStyle w:val="Strong"/>
          <w:rFonts w:cs="Arial" w:ascii="Arial" w:hAnsi="Arial"/>
          <w:color w:themeColor="text1" w:val="000000"/>
          <w:sz w:val="24"/>
          <w:szCs w:val="24"/>
        </w:rPr>
        <w:t xml:space="preserve">Kategoria I </w:t>
      </w:r>
      <w:r>
        <w:rPr>
          <w:rStyle w:val="Strong"/>
          <w:rFonts w:cs="Arial" w:ascii="Arial" w:hAnsi="Arial"/>
          <w:b w:val="false"/>
          <w:color w:themeColor="text1" w:val="000000"/>
          <w:sz w:val="24"/>
          <w:szCs w:val="24"/>
        </w:rPr>
        <w:t>–</w:t>
      </w:r>
      <w:r>
        <w:rPr>
          <w:rStyle w:val="Strong"/>
          <w:rFonts w:cs="Arial" w:ascii="Arial" w:hAnsi="Arial"/>
          <w:color w:themeColor="text1" w:val="000000"/>
          <w:sz w:val="24"/>
          <w:szCs w:val="24"/>
        </w:rPr>
        <w:t xml:space="preserve"> Koszty merytoryczne, promocji - </w:t>
      </w:r>
      <w:r>
        <w:rPr>
          <w:rStyle w:val="Strong"/>
          <w:rFonts w:cs="Arial" w:ascii="Arial" w:hAnsi="Arial"/>
          <w:b w:val="false"/>
          <w:color w:themeColor="text1" w:val="000000"/>
          <w:sz w:val="24"/>
          <w:szCs w:val="24"/>
        </w:rPr>
        <w:t>to</w:t>
      </w:r>
      <w:r>
        <w:rPr>
          <w:rStyle w:val="Strong"/>
          <w:rFonts w:cs="Arial" w:ascii="Arial" w:hAnsi="Arial"/>
          <w:color w:themeColor="text1" w:val="000000"/>
          <w:sz w:val="24"/>
          <w:szCs w:val="24"/>
        </w:rPr>
        <w:t xml:space="preserve"> </w:t>
      </w:r>
      <w:r>
        <w:rPr>
          <w:rStyle w:val="Strong"/>
          <w:rFonts w:cs="Arial" w:ascii="Arial" w:hAnsi="Arial"/>
          <w:b w:val="false"/>
          <w:color w:themeColor="text1" w:val="000000"/>
          <w:sz w:val="24"/>
          <w:szCs w:val="24"/>
        </w:rPr>
        <w:t xml:space="preserve">wydatki związane z uczestnictwem bezpośrednich adresatów projektu w działaniach </w:t>
      </w:r>
      <w:r>
        <w:rPr>
          <w:rFonts w:cs="Arial" w:ascii="Arial" w:hAnsi="Arial"/>
          <w:color w:themeColor="text1" w:val="000000"/>
          <w:sz w:val="24"/>
          <w:szCs w:val="24"/>
        </w:rPr>
        <w:t>służących rozwojowi aktywności i integracji społecznej oraz zwiększeniu odporności społeczności lokalnych na kryzysy.</w:t>
      </w:r>
    </w:p>
    <w:p>
      <w:pPr>
        <w:pStyle w:val="Akapitzlist1"/>
        <w:tabs>
          <w:tab w:val="clear" w:pos="720"/>
          <w:tab w:val="left" w:pos="708" w:leader="none"/>
        </w:tabs>
        <w:spacing w:lineRule="auto" w:line="276"/>
        <w:ind w:left="0"/>
        <w:jc w:val="both"/>
        <w:rPr>
          <w:sz w:val="24"/>
          <w:szCs w:val="24"/>
        </w:rPr>
      </w:pPr>
      <w:r>
        <w:rPr>
          <w:rFonts w:cs="Arial" w:ascii="Arial" w:hAnsi="Arial"/>
          <w:color w:themeColor="text1" w:val="000000"/>
          <w:sz w:val="24"/>
          <w:szCs w:val="24"/>
        </w:rPr>
        <w:t>Do kosztów merytorycznych zaliczają się zwłaszcza:</w:t>
      </w:r>
    </w:p>
    <w:p>
      <w:pPr>
        <w:pStyle w:val="Akapitzlist1"/>
        <w:tabs>
          <w:tab w:val="clear" w:pos="720"/>
          <w:tab w:val="left" w:pos="708" w:leader="none"/>
        </w:tabs>
        <w:spacing w:lineRule="auto" w:line="276"/>
        <w:ind w:left="0"/>
        <w:jc w:val="both"/>
        <w:rPr>
          <w:rFonts w:ascii="Arial" w:hAnsi="Arial" w:cs="Arial"/>
          <w:color w:themeColor="text1" w:val="000000"/>
          <w:sz w:val="24"/>
          <w:szCs w:val="24"/>
        </w:rPr>
      </w:pPr>
      <w:r>
        <w:rPr>
          <w:rFonts w:cs="Arial" w:ascii="Arial" w:hAnsi="Arial"/>
          <w:color w:themeColor="text1" w:val="000000"/>
          <w:sz w:val="24"/>
          <w:szCs w:val="24"/>
        </w:rPr>
      </w:r>
    </w:p>
    <w:p>
      <w:pPr>
        <w:pStyle w:val="BodyTextIndent"/>
        <w:numPr>
          <w:ilvl w:val="0"/>
          <w:numId w:val="2"/>
        </w:numPr>
        <w:tabs>
          <w:tab w:val="clear" w:pos="360"/>
          <w:tab w:val="left" w:pos="284" w:leader="none"/>
        </w:tabs>
        <w:spacing w:lineRule="auto" w:line="276"/>
        <w:ind w:hanging="0" w:left="0"/>
        <w:rPr/>
      </w:pPr>
      <w:r>
        <w:rPr>
          <w:rStyle w:val="Strong"/>
          <w:rFonts w:cs="Arial" w:ascii="Arial" w:hAnsi="Arial"/>
          <w:color w:themeColor="text1" w:val="000000"/>
          <w:sz w:val="24"/>
          <w:szCs w:val="24"/>
        </w:rPr>
        <w:t xml:space="preserve">Koszty osobowe </w:t>
      </w:r>
      <w:r>
        <w:rPr>
          <w:rStyle w:val="Strong"/>
          <w:rFonts w:cs="Arial" w:ascii="Arial" w:hAnsi="Arial"/>
          <w:b w:val="false"/>
          <w:color w:themeColor="text1" w:val="000000"/>
          <w:sz w:val="24"/>
          <w:szCs w:val="24"/>
        </w:rPr>
        <w:t xml:space="preserve">– np. wynagrodzenia trenerów, ekspertów, specjalistów realizujących zadania (jedynie w części odpowiadającej zaangażowaniu danej osoby w realizację projektu), wynagrodzenia innych osób zatrudnionych specjalnie na potrzeby projektu, koszty niezbędnych wyjazdów służbowych trenerów, ekspertów, specjalistów </w:t>
      </w:r>
      <w:r>
        <w:rPr>
          <w:rFonts w:cs="Arial" w:ascii="Arial" w:hAnsi="Arial"/>
          <w:color w:themeColor="text1" w:val="000000"/>
          <w:sz w:val="24"/>
          <w:szCs w:val="24"/>
        </w:rPr>
        <w:t>zaangażowanych w realizację zadania (tylko w przypadku, gdy zasady i sposób podróży służbowych określa umowa cywilnoprawna, na podstawie której dana osoba jest zaangażowana w realizację projektu).</w:t>
      </w:r>
    </w:p>
    <w:p>
      <w:pPr>
        <w:pStyle w:val="BodyTextIndent"/>
        <w:tabs>
          <w:tab w:val="clear" w:pos="360"/>
          <w:tab w:val="left" w:pos="284" w:leader="none"/>
        </w:tabs>
        <w:spacing w:lineRule="auto" w:line="276" w:before="0" w:after="240"/>
        <w:ind w:hanging="0" w:left="0"/>
        <w:rPr/>
      </w:pPr>
      <w:r>
        <w:rPr>
          <w:rStyle w:val="Strong"/>
          <w:rFonts w:cs="Arial" w:ascii="Arial" w:hAnsi="Arial"/>
          <w:b w:val="false"/>
          <w:color w:themeColor="text1" w:val="000000"/>
          <w:sz w:val="24"/>
          <w:szCs w:val="24"/>
        </w:rPr>
        <w:t xml:space="preserve">W ramach realizowanych projektów nie ma możliwości zawierania umów o dzieło. </w:t>
      </w:r>
    </w:p>
    <w:p>
      <w:pPr>
        <w:pStyle w:val="BodyTextIndent"/>
        <w:numPr>
          <w:ilvl w:val="0"/>
          <w:numId w:val="2"/>
        </w:numPr>
        <w:tabs>
          <w:tab w:val="clear" w:pos="360"/>
          <w:tab w:val="left" w:pos="284" w:leader="none"/>
        </w:tabs>
        <w:spacing w:lineRule="auto" w:line="276" w:before="0" w:after="240"/>
        <w:ind w:hanging="0" w:left="0"/>
        <w:rPr/>
      </w:pPr>
      <w:r>
        <w:rPr>
          <w:rStyle w:val="Strong"/>
          <w:rFonts w:cs="Arial" w:ascii="Arial" w:hAnsi="Arial"/>
          <w:color w:themeColor="text1" w:val="000000"/>
          <w:sz w:val="24"/>
          <w:szCs w:val="24"/>
        </w:rPr>
        <w:t xml:space="preserve">Wyżywienie </w:t>
      </w:r>
      <w:r>
        <w:rPr>
          <w:rStyle w:val="Strong"/>
          <w:rFonts w:cs="Arial" w:ascii="Arial" w:hAnsi="Arial"/>
          <w:b w:val="false"/>
          <w:color w:themeColor="text1" w:val="000000"/>
          <w:sz w:val="24"/>
          <w:szCs w:val="24"/>
        </w:rPr>
        <w:t>– zamówienie cateringu lub zakup produktów do przygotowania poczęstunku, gotowych przekąsek, owoców, napojów, naczyń jednorazowych itp.</w:t>
      </w:r>
    </w:p>
    <w:p>
      <w:pPr>
        <w:pStyle w:val="BodyTextIndent"/>
        <w:numPr>
          <w:ilvl w:val="0"/>
          <w:numId w:val="2"/>
        </w:numPr>
        <w:tabs>
          <w:tab w:val="clear" w:pos="360"/>
          <w:tab w:val="left" w:pos="284" w:leader="none"/>
        </w:tabs>
        <w:spacing w:lineRule="auto" w:line="276" w:before="0" w:after="240"/>
        <w:ind w:hanging="0" w:left="0"/>
        <w:rPr/>
      </w:pPr>
      <w:r>
        <w:rPr>
          <w:rStyle w:val="Strong"/>
          <w:rFonts w:cs="Arial" w:ascii="Arial" w:hAnsi="Arial"/>
          <w:color w:themeColor="text1" w:val="000000"/>
          <w:sz w:val="24"/>
          <w:szCs w:val="24"/>
        </w:rPr>
        <w:t>Pozostałe koszty merytoryczne oraz koszty promocji</w:t>
      </w:r>
      <w:r>
        <w:rPr>
          <w:rStyle w:val="Strong"/>
          <w:rFonts w:cs="Arial" w:ascii="Arial" w:hAnsi="Arial"/>
          <w:b w:val="false"/>
          <w:color w:themeColor="text1" w:val="000000"/>
          <w:sz w:val="24"/>
          <w:szCs w:val="24"/>
        </w:rPr>
        <w:t xml:space="preserve"> –</w:t>
      </w:r>
      <w:r>
        <w:rPr>
          <w:rFonts w:cs="Arial" w:ascii="Arial" w:hAnsi="Arial"/>
          <w:color w:themeColor="text1" w:val="000000"/>
          <w:sz w:val="24"/>
          <w:szCs w:val="24"/>
        </w:rPr>
        <w:t xml:space="preserve"> m.in. materiały </w:t>
      </w:r>
      <w:r>
        <w:rPr>
          <w:rFonts w:cs="Arial" w:ascii="Arial" w:hAnsi="Arial"/>
          <w:color w:themeColor="text1" w:val="000000"/>
          <w:sz w:val="24"/>
          <w:szCs w:val="24"/>
          <w:u w:val="single"/>
        </w:rPr>
        <w:t>zużywalne</w:t>
      </w:r>
      <w:r>
        <w:rPr>
          <w:rFonts w:cs="Arial" w:ascii="Arial" w:hAnsi="Arial"/>
          <w:color w:themeColor="text1" w:val="000000"/>
          <w:sz w:val="24"/>
          <w:szCs w:val="24"/>
        </w:rPr>
        <w:t xml:space="preserve"> w trakcie trwania projektu, niezaliczające się do pozostałych kategorii, np. artykuły papiernicze na warsztaty, opłaty za wynajem sal, materiały szkoleniowe, plakaty, ulotki, ogłoszenia prasowe, wydruki, opłaty za sprawy sądowe prowadzone w interesie publicznym, przejazdy beneficjentów (np. koszty podróży związane z realizacją projektu), nagrody dla beneficjentów w konkursach, niezbędne koszty przesyłek kurierskich i pocztowych, </w:t>
      </w:r>
      <w:r>
        <w:rPr>
          <w:rStyle w:val="Strong"/>
          <w:rFonts w:cs="Arial" w:ascii="Arial" w:hAnsi="Arial"/>
          <w:b w:val="false"/>
          <w:color w:themeColor="text1" w:val="000000"/>
          <w:sz w:val="24"/>
          <w:szCs w:val="24"/>
        </w:rPr>
        <w:t>odzież, o ile nie stanowi elementu indywidualnego wyposażenia</w:t>
      </w:r>
      <w:r>
        <w:rPr>
          <w:rFonts w:cs="Arial" w:ascii="Arial" w:hAnsi="Arial"/>
          <w:color w:themeColor="text1" w:val="000000"/>
          <w:sz w:val="24"/>
          <w:szCs w:val="24"/>
        </w:rPr>
        <w:t xml:space="preserve"> itp.</w:t>
      </w:r>
    </w:p>
    <w:p>
      <w:pPr>
        <w:pStyle w:val="BodyTextIndent"/>
        <w:tabs>
          <w:tab w:val="clear" w:pos="360"/>
          <w:tab w:val="left" w:pos="709" w:leader="none"/>
        </w:tabs>
        <w:spacing w:lineRule="auto" w:line="276" w:before="0" w:after="240"/>
        <w:ind w:hanging="0" w:left="0"/>
        <w:rPr>
          <w:sz w:val="24"/>
          <w:szCs w:val="24"/>
        </w:rPr>
      </w:pPr>
      <w:r>
        <w:rPr>
          <w:rFonts w:cs="Arial" w:ascii="Arial" w:hAnsi="Arial"/>
          <w:b/>
          <w:color w:themeColor="text1" w:val="000000"/>
          <w:sz w:val="24"/>
          <w:szCs w:val="24"/>
        </w:rPr>
        <w:t>UWAGA!</w:t>
      </w:r>
      <w:r>
        <w:rPr>
          <w:rFonts w:cs="Arial" w:ascii="Arial" w:hAnsi="Arial"/>
          <w:color w:themeColor="text1" w:val="000000"/>
          <w:sz w:val="24"/>
          <w:szCs w:val="24"/>
        </w:rPr>
        <w:t xml:space="preserve"> W przypadku realizacji zadania w ramach działalności odpłatnej zastosowanie mają limity wynagrodzeń określone w art. 9 UoDPPioW. </w:t>
      </w:r>
    </w:p>
    <w:p>
      <w:pPr>
        <w:pStyle w:val="BodyTextIndent"/>
        <w:numPr>
          <w:ilvl w:val="0"/>
          <w:numId w:val="17"/>
        </w:numPr>
        <w:tabs>
          <w:tab w:val="clear" w:pos="360"/>
        </w:tabs>
        <w:spacing w:lineRule="auto" w:line="276" w:before="0" w:after="240"/>
        <w:ind w:hanging="426" w:left="426"/>
        <w:rPr>
          <w:sz w:val="24"/>
          <w:szCs w:val="24"/>
        </w:rPr>
      </w:pPr>
      <w:r>
        <w:rPr>
          <w:rFonts w:cs="Arial" w:ascii="Arial" w:hAnsi="Arial"/>
          <w:b/>
          <w:bCs/>
          <w:color w:themeColor="text1" w:val="000000"/>
          <w:sz w:val="24"/>
          <w:szCs w:val="24"/>
        </w:rPr>
        <w:t>Kategoria II – koszty rozwoju:</w:t>
      </w:r>
    </w:p>
    <w:p>
      <w:pPr>
        <w:pStyle w:val="BodyTextIndent"/>
        <w:tabs>
          <w:tab w:val="clear" w:pos="360"/>
          <w:tab w:val="left" w:pos="709" w:leader="none"/>
        </w:tabs>
        <w:spacing w:lineRule="auto" w:line="276" w:before="0" w:after="240"/>
        <w:rPr>
          <w:sz w:val="24"/>
          <w:szCs w:val="24"/>
        </w:rPr>
      </w:pPr>
      <w:r>
        <w:rPr>
          <w:rFonts w:cs="Arial" w:ascii="Arial" w:hAnsi="Arial"/>
          <w:color w:themeColor="text1" w:val="000000"/>
          <w:sz w:val="24"/>
          <w:szCs w:val="24"/>
        </w:rPr>
        <w:t>Rozwój instytucjonalny MIŚLOP (do 50%) – w tym:</w:t>
      </w:r>
    </w:p>
    <w:p>
      <w:pPr>
        <w:pStyle w:val="BodyTextIndent"/>
        <w:tabs>
          <w:tab w:val="clear" w:pos="360"/>
          <w:tab w:val="left" w:pos="284" w:leader="none"/>
        </w:tabs>
        <w:spacing w:lineRule="auto" w:line="276" w:before="0" w:after="240"/>
        <w:ind w:hanging="0" w:left="0"/>
        <w:rPr/>
      </w:pPr>
      <w:r>
        <w:rPr>
          <w:rFonts w:cs="Arial" w:ascii="Arial" w:hAnsi="Arial"/>
          <w:color w:themeColor="text1" w:val="000000"/>
          <w:sz w:val="24"/>
          <w:szCs w:val="24"/>
        </w:rPr>
        <w:t>Zakup</w:t>
      </w:r>
      <w:r>
        <w:rPr>
          <w:rFonts w:cs="Arial" w:ascii="Arial" w:hAnsi="Arial"/>
          <w:b/>
          <w:bCs/>
          <w:color w:themeColor="text1" w:val="000000"/>
          <w:sz w:val="24"/>
          <w:szCs w:val="24"/>
        </w:rPr>
        <w:t xml:space="preserve"> </w:t>
      </w:r>
      <w:r>
        <w:rPr>
          <w:rStyle w:val="Strong"/>
          <w:rFonts w:cs="Arial" w:ascii="Arial" w:hAnsi="Arial"/>
          <w:b w:val="false"/>
          <w:color w:themeColor="text1" w:val="000000"/>
          <w:sz w:val="24"/>
          <w:szCs w:val="24"/>
        </w:rPr>
        <w:t xml:space="preserve">składnika majątku (wraz z kosztami dostawy), którego wartość początkowa </w:t>
      </w:r>
      <w:r>
        <w:rPr>
          <w:rStyle w:val="Strong"/>
          <w:rFonts w:cs="Arial" w:ascii="Arial" w:hAnsi="Arial"/>
          <w:b w:val="false"/>
          <w:color w:themeColor="text1" w:val="000000"/>
          <w:sz w:val="24"/>
          <w:szCs w:val="24"/>
          <w:u w:val="single"/>
        </w:rPr>
        <w:t>nie przekracza kwoty 10 000,00 zł</w:t>
      </w:r>
      <w:r>
        <w:rPr>
          <w:rStyle w:val="Strong"/>
          <w:rFonts w:cs="Arial" w:ascii="Arial" w:hAnsi="Arial"/>
          <w:color w:themeColor="text1" w:val="000000"/>
          <w:sz w:val="24"/>
          <w:szCs w:val="24"/>
          <w:u w:val="single"/>
        </w:rPr>
        <w:t xml:space="preserve"> </w:t>
      </w:r>
      <w:r>
        <w:rPr>
          <w:rStyle w:val="Strong"/>
          <w:rFonts w:cs="Arial" w:ascii="Arial" w:hAnsi="Arial"/>
          <w:b w:val="false"/>
          <w:color w:themeColor="text1" w:val="000000"/>
          <w:sz w:val="24"/>
          <w:szCs w:val="24"/>
          <w:u w:val="single"/>
        </w:rPr>
        <w:t xml:space="preserve">brutto </w:t>
      </w:r>
      <w:r>
        <w:rPr>
          <w:rStyle w:val="Strong"/>
          <w:rFonts w:cs="Arial" w:ascii="Arial" w:hAnsi="Arial"/>
          <w:b w:val="false"/>
          <w:color w:themeColor="text1" w:val="000000"/>
          <w:sz w:val="24"/>
          <w:szCs w:val="24"/>
        </w:rPr>
        <w:t>(</w:t>
      </w:r>
      <w:r>
        <w:rPr>
          <w:rFonts w:cs="Arial" w:ascii="Arial" w:hAnsi="Arial"/>
          <w:color w:themeColor="text1" w:val="000000"/>
          <w:sz w:val="24"/>
          <w:szCs w:val="24"/>
        </w:rPr>
        <w:t xml:space="preserve">organizacja może zakupić kilka składników majątku, których cena jednostkowa nie przekracza 10 000,00 zł za poszczególny składnik majątku nawet w przypadku zaangażowania wkładu własnego finansowego organizacji) </w:t>
      </w:r>
      <w:r>
        <w:rPr>
          <w:rStyle w:val="Strong"/>
          <w:rFonts w:cs="Arial" w:ascii="Arial" w:hAnsi="Arial"/>
          <w:b w:val="false"/>
          <w:color w:themeColor="text1" w:val="000000"/>
          <w:sz w:val="24"/>
          <w:szCs w:val="24"/>
        </w:rPr>
        <w:t xml:space="preserve">– np. drobny sprzęt. </w:t>
      </w:r>
      <w:r>
        <w:rPr>
          <w:rFonts w:cs="Arial" w:ascii="Arial" w:hAnsi="Arial"/>
          <w:color w:themeColor="text1" w:val="000000"/>
          <w:sz w:val="24"/>
          <w:szCs w:val="24"/>
        </w:rPr>
        <w:t xml:space="preserve">Składniki majątku (w tym maszyny, urządzenia, strony www i aplikacje, pozostałe wartości niematerialne i prawne) powyżej 10 000 zł są kosztem niekwalifikowalnym. </w:t>
      </w:r>
    </w:p>
    <w:p>
      <w:pPr>
        <w:pStyle w:val="BodyTextIndent"/>
        <w:pBdr>
          <w:top w:val="single" w:sz="4" w:space="1" w:color="000000"/>
          <w:left w:val="single" w:sz="4" w:space="4" w:color="000000"/>
          <w:bottom w:val="single" w:sz="4" w:space="1" w:color="000000"/>
          <w:right w:val="single" w:sz="4" w:space="4" w:color="000000"/>
        </w:pBdr>
        <w:tabs>
          <w:tab w:val="clear" w:pos="360"/>
          <w:tab w:val="left" w:pos="284" w:leader="none"/>
        </w:tabs>
        <w:spacing w:lineRule="auto" w:line="276" w:before="0" w:after="240"/>
        <w:ind w:hanging="0" w:left="0"/>
        <w:rPr>
          <w:sz w:val="24"/>
          <w:szCs w:val="24"/>
        </w:rPr>
      </w:pPr>
      <w:r>
        <w:rPr>
          <w:rFonts w:cs="Arial" w:ascii="Arial" w:hAnsi="Arial"/>
          <w:bCs/>
          <w:color w:themeColor="text1" w:val="000000"/>
          <w:sz w:val="24"/>
          <w:szCs w:val="24"/>
        </w:rPr>
        <w:t>Sprzęt zakupiony w ramach dotacji nie może zostać zbyty przez Beneficjenta przez okres 5 lat od daty zakończenia realizacji zadania.</w:t>
      </w:r>
    </w:p>
    <w:p>
      <w:pPr>
        <w:pStyle w:val="BodyTextIndent"/>
        <w:tabs>
          <w:tab w:val="clear" w:pos="360"/>
        </w:tabs>
        <w:spacing w:lineRule="auto" w:line="276" w:before="0" w:after="240"/>
        <w:ind w:hanging="0" w:left="0"/>
        <w:rPr>
          <w:sz w:val="24"/>
          <w:szCs w:val="24"/>
        </w:rPr>
      </w:pPr>
      <w:r>
        <w:rPr>
          <w:rFonts w:cs="Arial" w:ascii="Arial" w:hAnsi="Arial"/>
          <w:color w:themeColor="text1" w:val="000000"/>
          <w:sz w:val="24"/>
          <w:szCs w:val="24"/>
        </w:rPr>
        <w:t>Szkolenia, kursy podnoszące kompetencje członków, wolontariuszy, zarządów MIŚLOP, koszty adaptacji lokalu, oprogramowanie komputerowe, koszty pomocy w opracowaniu merytorycznych planów rozwoju, planów współpracy z wolontariuszami itp.</w:t>
      </w:r>
    </w:p>
    <w:p>
      <w:pPr>
        <w:pStyle w:val="Default"/>
        <w:tabs>
          <w:tab w:val="clear" w:pos="720"/>
        </w:tabs>
        <w:spacing w:lineRule="auto" w:line="276" w:before="0" w:after="240"/>
        <w:ind w:hanging="0" w:left="0"/>
        <w:rPr>
          <w:highlight w:val="none"/>
          <w:shd w:fill="auto" w:val="clear"/>
        </w:rPr>
      </w:pPr>
      <w:r>
        <w:rPr>
          <w:rFonts w:cs="Arial" w:ascii="Arial" w:hAnsi="Arial"/>
          <w:color w:themeColor="text1" w:val="000000"/>
          <w:sz w:val="24"/>
          <w:szCs w:val="24"/>
          <w:shd w:fill="auto" w:val="clear"/>
        </w:rPr>
        <w:t xml:space="preserve">Wskazane wyżej działania mają charakter komplementarny. Zakłada się ich pozytywny wpływ na rozpoznawalność organizacji w lokalnych społecznościach, rozwój kompetencji związany z wymianą doświadczeń w realizacji przedsięwzięć, budowanie relacji i zaufania między organizacjami i społecznościami lokalnymi oraz między samymi organizacjami. </w:t>
      </w:r>
    </w:p>
    <w:p>
      <w:pPr>
        <w:pStyle w:val="Default"/>
        <w:tabs>
          <w:tab w:val="clear" w:pos="720"/>
        </w:tabs>
        <w:spacing w:lineRule="auto" w:line="276" w:before="0" w:after="240"/>
        <w:ind w:hanging="0" w:left="0"/>
        <w:rPr>
          <w:highlight w:val="none"/>
          <w:shd w:fill="auto" w:val="clear"/>
        </w:rPr>
      </w:pPr>
      <w:r>
        <w:rPr>
          <w:rFonts w:cs="Arial" w:ascii="Arial" w:hAnsi="Arial"/>
          <w:color w:themeColor="text1" w:val="000000"/>
          <w:sz w:val="24"/>
          <w:szCs w:val="24"/>
          <w:shd w:fill="auto" w:val="clear"/>
        </w:rPr>
        <w:t xml:space="preserve">Wszystkie działania podejmowane w tym obszarze będą służyły realizacji celu głównego Programu, którym jest budowanie i wzmacnianie odporności społecznej. </w:t>
      </w:r>
    </w:p>
    <w:p>
      <w:pPr>
        <w:pStyle w:val="BodyTextIndent"/>
        <w:tabs>
          <w:tab w:val="clear" w:pos="360"/>
          <w:tab w:val="left" w:pos="709" w:leader="none"/>
        </w:tabs>
        <w:spacing w:lineRule="auto" w:line="276" w:before="0" w:after="240"/>
        <w:ind w:hanging="0" w:left="0"/>
        <w:rPr/>
      </w:pPr>
      <w:r>
        <w:rPr>
          <w:rStyle w:val="Strong"/>
          <w:rFonts w:cs="Arial" w:ascii="Arial" w:hAnsi="Arial"/>
          <w:color w:themeColor="text1" w:val="000000"/>
          <w:sz w:val="24"/>
          <w:szCs w:val="24"/>
          <w:shd w:fill="auto" w:val="clear"/>
        </w:rPr>
        <w:t>4) Kategoria III</w:t>
      </w:r>
      <w:r>
        <w:rPr>
          <w:rStyle w:val="Strong"/>
          <w:rFonts w:cs="Arial" w:ascii="Arial" w:hAnsi="Arial"/>
          <w:b w:val="false"/>
          <w:color w:themeColor="text1" w:val="000000"/>
          <w:sz w:val="24"/>
          <w:szCs w:val="24"/>
          <w:shd w:fill="auto" w:val="clear"/>
        </w:rPr>
        <w:t xml:space="preserve"> - </w:t>
      </w:r>
      <w:r>
        <w:rPr>
          <w:rStyle w:val="Strong"/>
          <w:rFonts w:cs="Arial" w:ascii="Arial" w:hAnsi="Arial"/>
          <w:color w:themeColor="text1" w:val="000000"/>
          <w:sz w:val="24"/>
          <w:szCs w:val="24"/>
          <w:shd w:fill="auto" w:val="clear"/>
        </w:rPr>
        <w:t>koszty obsługi zadania publicznego, w tym kosz</w:t>
      </w:r>
      <w:r>
        <w:rPr>
          <w:rStyle w:val="Strong"/>
          <w:rFonts w:cs="Arial" w:ascii="Arial" w:hAnsi="Arial"/>
          <w:color w:themeColor="text1" w:val="000000"/>
          <w:sz w:val="24"/>
          <w:szCs w:val="24"/>
        </w:rPr>
        <w:t xml:space="preserve">ty administracyjne </w:t>
      </w:r>
      <w:r>
        <w:rPr>
          <w:rFonts w:cs="Arial" w:ascii="Arial" w:hAnsi="Arial"/>
          <w:color w:themeColor="text1" w:val="000000"/>
          <w:sz w:val="24"/>
          <w:szCs w:val="24"/>
        </w:rPr>
        <w:t xml:space="preserve">– np. kierowanie projektem, wykonywanie zadań administracyjnych, księgowych (jedynie w części odpowiadającej zaangażowaniu danej osoby w realizację projektu), </w:t>
      </w:r>
      <w:r>
        <w:rPr>
          <w:rStyle w:val="Strong"/>
          <w:rFonts w:cs="Arial" w:ascii="Arial" w:hAnsi="Arial"/>
          <w:b w:val="false"/>
          <w:color w:themeColor="text1" w:val="000000"/>
          <w:sz w:val="24"/>
          <w:szCs w:val="24"/>
        </w:rPr>
        <w:t>opłaty za telefon/faks, opłaty pocztowe, czynsz, CO (w stosownej części przypadającej na dany projekt</w:t>
      </w:r>
      <w:r>
        <w:rPr>
          <w:rFonts w:cs="Arial" w:ascii="Arial" w:hAnsi="Arial"/>
          <w:bCs/>
          <w:color w:themeColor="text1" w:val="000000"/>
          <w:sz w:val="24"/>
          <w:szCs w:val="24"/>
        </w:rPr>
        <w:t xml:space="preserve">), </w:t>
      </w:r>
      <w:r>
        <w:rPr>
          <w:rFonts w:cs="Arial" w:ascii="Arial" w:hAnsi="Arial"/>
          <w:color w:themeColor="text1" w:val="000000"/>
          <w:sz w:val="24"/>
          <w:szCs w:val="24"/>
        </w:rPr>
        <w:t>opłaty za przelewy bankowe</w:t>
      </w:r>
      <w:r>
        <w:rPr>
          <w:rFonts w:cs="Arial" w:ascii="Arial" w:hAnsi="Arial"/>
          <w:b/>
          <w:bCs/>
          <w:color w:themeColor="text1" w:val="000000"/>
          <w:sz w:val="24"/>
          <w:szCs w:val="24"/>
        </w:rPr>
        <w:t>.</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5) </w:t>
      </w:r>
      <w:bookmarkStart w:id="0" w:name="_Hlk189565084"/>
      <w:r>
        <w:rPr>
          <w:rFonts w:cs="Arial" w:ascii="Arial" w:hAnsi="Arial"/>
          <w:color w:themeColor="text1" w:val="000000"/>
          <w:sz w:val="24"/>
          <w:szCs w:val="24"/>
        </w:rPr>
        <w:t xml:space="preserve">Grupy nieformalne nie mogą nabywać środków trwałych i wyposażenia. Grupy bez Patrona obowiązuje również </w:t>
      </w:r>
      <w:r>
        <w:rPr>
          <w:rFonts w:cs="Arial" w:ascii="Arial" w:hAnsi="Arial"/>
          <w:b/>
          <w:color w:themeColor="text1" w:val="000000"/>
          <w:sz w:val="24"/>
          <w:szCs w:val="24"/>
        </w:rPr>
        <w:t>limit na koszty osobowe</w:t>
      </w:r>
      <w:r>
        <w:rPr>
          <w:rFonts w:cs="Arial" w:ascii="Arial" w:hAnsi="Arial"/>
          <w:color w:themeColor="text1" w:val="000000"/>
          <w:sz w:val="24"/>
          <w:szCs w:val="24"/>
        </w:rPr>
        <w:t xml:space="preserve">: maksymalna wysokość wydatków na koszty osobowe w ramach kategorii I. w budżecie – Koszty merytoryczne, promocji  </w:t>
      </w:r>
      <w:r>
        <w:rPr>
          <w:rFonts w:cs="Arial" w:ascii="Arial" w:hAnsi="Arial"/>
          <w:color w:themeColor="text1" w:val="000000"/>
          <w:sz w:val="24"/>
          <w:szCs w:val="24"/>
          <w:u w:val="single"/>
        </w:rPr>
        <w:t xml:space="preserve">nie może przekroczyć 40% </w:t>
      </w:r>
      <w:r>
        <w:rPr>
          <w:rFonts w:cs="Arial" w:ascii="Arial" w:hAnsi="Arial"/>
          <w:color w:themeColor="text1" w:val="000000"/>
          <w:sz w:val="24"/>
          <w:szCs w:val="24"/>
        </w:rPr>
        <w:t xml:space="preserve">wnioskowanej kwoty dotacji, </w:t>
      </w:r>
      <w:r>
        <w:rPr>
          <w:rFonts w:eastAsia="Times New Roman" w:cs="Arial" w:ascii="Arial" w:hAnsi="Arial"/>
          <w:color w:themeColor="text1" w:val="000000"/>
          <w:sz w:val="24"/>
          <w:szCs w:val="24"/>
        </w:rPr>
        <w:t>zrealizowane jako zakup usługi</w:t>
      </w:r>
      <w:r>
        <w:rPr>
          <w:rFonts w:cs="Arial" w:ascii="Arial" w:hAnsi="Arial"/>
          <w:color w:themeColor="text1" w:val="000000"/>
          <w:sz w:val="24"/>
          <w:szCs w:val="24"/>
        </w:rPr>
        <w:t>.</w:t>
      </w:r>
      <w:bookmarkEnd w:id="0"/>
      <w:r>
        <w:rPr>
          <w:rFonts w:cs="Arial" w:ascii="Arial" w:hAnsi="Arial"/>
          <w:color w:themeColor="text1" w:val="000000"/>
          <w:sz w:val="24"/>
          <w:szCs w:val="24"/>
        </w:rPr>
        <w:t xml:space="preserve">  Działania projektu prowadzone przez grupę nieformalną muszą mieścić się w okresie realizacji projektu, przy czym w przypadku grup bez patrona ostatni dokument finansowy do opłacenia w ramach projektu powinien być wystawiony i dostarczony do Operatora najpóźniej do 20.10.2026 r.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6) Niedopuszczalne jest przeznaczanie dotacji na remont/adaptację lokali organizacji pozarządowych, jeśli lokale te pełnią jednocześnie funkcję mieszkalną.</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7) W przypadku organizacji pozarządowych, terenowe oddziały organizacji (nieposiadające osobowości prawnej) mogą złożyć wniosek wyłącznie za zgodą zarządu głównego organizacji (tj. na podstawie pełnomocnictwa rodzajowego udzielonego przez zarząd główny). Natomiast terenowe oddziały posiadające osobowość prawną mogą aplikować niezależnie od zarządu głównego. Organizacja macierzysta bądź oddział terenowy posiadający osobowość prawną musi spełniać warunki dostępu w konkursie przewidziane dla MiŚLOP.</w:t>
      </w:r>
    </w:p>
    <w:p>
      <w:pPr>
        <w:pStyle w:val="Normal"/>
        <w:jc w:val="both"/>
        <w:rPr>
          <w:sz w:val="24"/>
          <w:szCs w:val="24"/>
        </w:rPr>
      </w:pPr>
      <w:r>
        <w:rPr>
          <w:rFonts w:cs="Arial" w:ascii="Arial" w:hAnsi="Arial"/>
          <w:sz w:val="24"/>
          <w:szCs w:val="24"/>
        </w:rPr>
        <w:t>8)  Ze środków konkursu „Moc Małych Społeczności - Kujawsko-Pomorskie” w ramach projektu „Inicjuj w małych społecznościach 2.0” finansowane będą jedynie działania mieszczące się w zakresie działalności statutowej nieodpłatnej i odpłatnej (w granicach limitów określonych w art. 9 UoDPPioW). Tym samym środki z konkursu „Moc Małych Społeczności - Kujawsko-Pomorskie” w ramach projektu „Inicjuj w małych społecznościach 2.0” nie mogą być przeznaczone na finansowanie działalności gospodarczej.</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9) Ze środków Rządowego Programu Wsparcia Organizacji Pozarządowych - Moc Małych Społeczności nie mogą być wspierane działania noszące znamiona kampanii politycznej i/lub angażujące przedstawicieli i członków partii politycznych oraz komitetów wyborczych. Projekty takie będą odrzucane na etapie oceny merytorycznej.</w:t>
      </w:r>
    </w:p>
    <w:p>
      <w:pPr>
        <w:pStyle w:val="CommentText"/>
        <w:jc w:val="both"/>
        <w:rPr>
          <w:sz w:val="24"/>
          <w:szCs w:val="24"/>
        </w:rPr>
      </w:pPr>
      <w:r>
        <w:rPr>
          <w:rFonts w:cs="Arial" w:ascii="Arial" w:hAnsi="Arial"/>
          <w:color w:themeColor="text1" w:val="000000"/>
          <w:sz w:val="24"/>
          <w:szCs w:val="24"/>
        </w:rPr>
        <w:t>10) Przed złożeniem wniosku wskazane jest zapoznanie się z dokumentem Rządowy Program Wsparcia Organizacji Pozarządowych - Moc Małych Społeczności.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11) Adresatami projektów muszą być osoby mieszkające na terenach wiejskich, a także małych i średnich miast w województwie kujawsko-pomorskim. Niedopuszczalne jest realizowanie dofinansowanych zadań na terenie miast liczących powyżej 100.000 mieszkańców.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30"/>
        <w:jc w:val="both"/>
        <w:rPr>
          <w:sz w:val="24"/>
          <w:szCs w:val="24"/>
        </w:rPr>
      </w:pPr>
      <w:r>
        <w:rPr>
          <w:rFonts w:cs="Arial" w:ascii="Arial" w:hAnsi="Arial"/>
          <w:color w:themeColor="text1" w:val="000000"/>
          <w:sz w:val="24"/>
          <w:szCs w:val="24"/>
        </w:rPr>
        <w:t xml:space="preserve">12) Patron (a w przypadku grup bez Patrona – Operator) ponosi koszty zakupu towarów i usług związane z realizacją lokalnego przedsięwzięcia przez grupę nieformalną. Patron/Operator nie przekazuje środków grupie nieformalnej. Każdy dowód księgowy dokumentujący zakup towaru lub usługi związanej z realizacją lokalnego przedsięwzięcia przez grupę nieformalną musi być wystawiony na Patrona/Operatora.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30"/>
        <w:jc w:val="both"/>
        <w:rPr>
          <w:sz w:val="24"/>
          <w:szCs w:val="24"/>
        </w:rPr>
      </w:pPr>
      <w:r>
        <w:rPr>
          <w:rFonts w:cs="Arial" w:ascii="Arial" w:hAnsi="Arial"/>
          <w:color w:themeColor="text1" w:val="000000"/>
          <w:sz w:val="24"/>
          <w:szCs w:val="24"/>
        </w:rPr>
        <w:t>13) Operator dokonuje płatności w imieniu grup nieformalnych dwa razy w miesiącu. Faktury (</w:t>
      </w:r>
      <w:r>
        <w:rPr>
          <w:rFonts w:cs="Arial" w:ascii="Arial" w:hAnsi="Arial"/>
          <w:b/>
          <w:color w:themeColor="text1" w:val="000000"/>
          <w:sz w:val="24"/>
          <w:szCs w:val="24"/>
        </w:rPr>
        <w:t>z minimum 14-dniowym terminem płatności</w:t>
      </w:r>
      <w:r>
        <w:rPr>
          <w:rFonts w:cs="Arial" w:ascii="Arial" w:hAnsi="Arial"/>
          <w:color w:themeColor="text1" w:val="000000"/>
          <w:sz w:val="24"/>
          <w:szCs w:val="24"/>
        </w:rPr>
        <w:t xml:space="preserve">) należy dostarczać do Operatora do 10 i do 20 dnia każdego miesiąca. W ostatnim miesiącu realizacji projektu wnioskodawcy dokumenty księgowe muszą zostać złożone w biurze Operatora na 10 dni przed zakończeniem projektu. </w:t>
      </w:r>
    </w:p>
    <w:p>
      <w:pPr>
        <w:pStyle w:val="Default"/>
        <w:tabs>
          <w:tab w:val="clear" w:pos="720"/>
          <w:tab w:val="left" w:pos="142"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240"/>
        <w:jc w:val="both"/>
        <w:rPr>
          <w:sz w:val="24"/>
          <w:szCs w:val="24"/>
        </w:rPr>
      </w:pPr>
      <w:r>
        <w:rPr>
          <w:rFonts w:cs="Arial" w:ascii="Arial" w:hAnsi="Arial"/>
          <w:color w:themeColor="text1" w:val="000000"/>
          <w:sz w:val="24"/>
          <w:szCs w:val="24"/>
        </w:rPr>
        <w:t xml:space="preserve">14) Niedopuszczalne jest dokonywanie przez przedstawicieli grup nieformalnych płatności za zakupy lub usługi prywatnymi środkami i jednoczesne pobieranie związanych z nimi dokumentów księgowych wystawianych na Operatora. Operator realizuje tylko płatności przelewowe, poza szczególnymi przypadkami zgłaszanymi Operatorowi </w:t>
      </w:r>
      <w:r>
        <w:rPr>
          <w:rFonts w:cs="Arial" w:ascii="Arial" w:hAnsi="Arial"/>
          <w:color w:themeColor="text1" w:val="000000"/>
          <w:sz w:val="24"/>
          <w:szCs w:val="24"/>
          <w:u w:val="single"/>
        </w:rPr>
        <w:t>przed</w:t>
      </w:r>
      <w:r>
        <w:rPr>
          <w:rFonts w:cs="Arial" w:ascii="Arial" w:hAnsi="Arial"/>
          <w:color w:themeColor="text1" w:val="000000"/>
          <w:sz w:val="24"/>
          <w:szCs w:val="24"/>
        </w:rPr>
        <w:t xml:space="preserve"> dokonaniem zakupów.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 xml:space="preserve">15) Patron (lub Operator – w przypadku grup bez Patrona) w szczególnych przypadkach może udzielić przedstawicielowi grupy nieformalnej pełnomocnictwa do dokonywania zakupów towarów i usług niezbędnych do wsparcia realizacji lokalnego przedsięwzięcia lub może zawrzeć porozumienie wolontariackie, co stanowić będzie podstawę do wypłacenia przedstawicielowi grupy nieformalnej/osobie, z którą zawarte zostało porozumienie wolontariackie, zaliczki na pokrycie kosztów przedsięwzięcia.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30"/>
        <w:jc w:val="both"/>
        <w:rPr>
          <w:sz w:val="24"/>
          <w:szCs w:val="24"/>
        </w:rPr>
      </w:pPr>
      <w:r>
        <w:rPr>
          <w:rFonts w:cs="Arial" w:ascii="Arial" w:hAnsi="Arial"/>
          <w:color w:themeColor="text1" w:val="000000"/>
          <w:sz w:val="24"/>
          <w:szCs w:val="24"/>
        </w:rPr>
        <w:t xml:space="preserve">16) W konkursie nie jest wymagany wkład finansowy. MiŚLOP oraz Patroni mogą jednak angażować w projekt własne środki finansowe.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pic:cNvPicPr>
                      <a:picLocks noChangeAspect="1" noChangeArrowheads="1"/>
                    </pic:cNvPicPr>
                  </pic:nvPicPr>
                  <pic:blipFill>
                    <a:blip r:embed="rId6"/>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rPr>
          <w:sz w:val="24"/>
          <w:szCs w:val="24"/>
        </w:rPr>
      </w:pPr>
      <w:r>
        <w:rPr>
          <w:rFonts w:cs="Arial" w:ascii="Arial" w:hAnsi="Arial"/>
          <w:b/>
          <w:color w:themeColor="text1" w:val="000000"/>
          <w:sz w:val="24"/>
          <w:szCs w:val="24"/>
        </w:rPr>
        <w:t>III CZAS REALIZACJI DZIAŁAŃ</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6" name="Obra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7"/>
                    <pic:cNvPicPr>
                      <a:picLocks noChangeAspect="1" noChangeArrowheads="1"/>
                    </pic:cNvPicPr>
                  </pic:nvPicPr>
                  <pic:blipFill>
                    <a:blip r:embed="rId7"/>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jc w:val="both"/>
        <w:rPr>
          <w:sz w:val="24"/>
          <w:szCs w:val="24"/>
        </w:rPr>
      </w:pPr>
      <w:r>
        <w:rPr>
          <w:rFonts w:cs="Arial" w:ascii="Arial" w:hAnsi="Arial"/>
          <w:color w:themeColor="text1" w:val="000000"/>
          <w:sz w:val="24"/>
          <w:szCs w:val="24"/>
        </w:rPr>
        <w:t xml:space="preserve">1. Harmonogram projektów musi być przewidziany nie wcześniej niż od: </w:t>
      </w:r>
      <w:r>
        <w:rPr>
          <w:rFonts w:cs="Arial" w:ascii="Arial" w:hAnsi="Arial"/>
          <w:color w:val="auto"/>
          <w:sz w:val="24"/>
          <w:szCs w:val="24"/>
        </w:rPr>
        <w:t>2026-09-15</w:t>
      </w:r>
      <w:r>
        <w:rPr>
          <w:rFonts w:cs="Arial" w:ascii="Arial" w:hAnsi="Arial"/>
          <w:color w:val="3465A4"/>
          <w:sz w:val="24"/>
          <w:szCs w:val="24"/>
        </w:rPr>
        <w:t xml:space="preserve"> </w:t>
      </w:r>
      <w:r>
        <w:rPr>
          <w:rFonts w:cs="Arial" w:ascii="Arial" w:hAnsi="Arial"/>
          <w:color w:val="auto"/>
          <w:sz w:val="24"/>
          <w:szCs w:val="24"/>
        </w:rPr>
        <w:t>do dnia 2026–10–30. W przypadku gdy Operatorzy będą posiadali środki na realizację projektów możliwe jest wydłużenie realizacji terminu projektów przez wnioskodawców.</w:t>
      </w:r>
    </w:p>
    <w:p>
      <w:pPr>
        <w:pStyle w:val="Default"/>
        <w:spacing w:lineRule="auto" w:line="276"/>
        <w:jc w:val="both"/>
        <w:rPr>
          <w:sz w:val="24"/>
          <w:szCs w:val="24"/>
        </w:rPr>
      </w:pPr>
      <w:r>
        <w:rPr>
          <w:rFonts w:cs="Arial" w:ascii="Arial" w:hAnsi="Arial"/>
          <w:color w:themeColor="text1" w:val="000000"/>
          <w:sz w:val="24"/>
          <w:szCs w:val="24"/>
        </w:rPr>
        <w:t xml:space="preserve">2. Beneficjent może wykorzystać środki z dotacji w terminie realizacji zadania określonym w Umowie. Aby wydatki zostały uznane za kwalifikowalne muszą być spełnione łącznie dwie przesłanki: </w:t>
      </w:r>
    </w:p>
    <w:p>
      <w:pPr>
        <w:pStyle w:val="ListParagraph"/>
        <w:numPr>
          <w:ilvl w:val="0"/>
          <w:numId w:val="7"/>
        </w:numPr>
        <w:spacing w:lineRule="auto" w:line="276"/>
        <w:jc w:val="both"/>
        <w:rPr>
          <w:sz w:val="24"/>
          <w:szCs w:val="24"/>
        </w:rPr>
      </w:pPr>
      <w:r>
        <w:rPr>
          <w:rFonts w:cs="Arial" w:ascii="Arial" w:hAnsi="Arial"/>
          <w:color w:themeColor="text1" w:val="000000"/>
          <w:sz w:val="24"/>
          <w:szCs w:val="24"/>
        </w:rPr>
        <w:t xml:space="preserve">dokument księgowy musi być wystawiony w terminie realizacji zadania; </w:t>
      </w:r>
    </w:p>
    <w:p>
      <w:pPr>
        <w:pStyle w:val="ListParagraph"/>
        <w:numPr>
          <w:ilvl w:val="0"/>
          <w:numId w:val="7"/>
        </w:numPr>
        <w:spacing w:lineRule="auto" w:line="276"/>
        <w:jc w:val="both"/>
        <w:rPr>
          <w:sz w:val="24"/>
          <w:szCs w:val="24"/>
        </w:rPr>
      </w:pPr>
      <w:r>
        <w:rPr>
          <w:rFonts w:cs="Arial" w:ascii="Arial" w:hAnsi="Arial"/>
          <w:color w:themeColor="text1" w:val="000000"/>
          <w:sz w:val="24"/>
          <w:szCs w:val="24"/>
        </w:rPr>
        <w:t>płatność musi być wykonana nie wcześniej niż od dnia rozpoczęcia realizacji zadania określonego w Umowie, nie później niż do dnia zakończenia zadania.</w:t>
      </w:r>
    </w:p>
    <w:p>
      <w:pPr>
        <w:pStyle w:val="BodyTextIndent"/>
        <w:tabs>
          <w:tab w:val="clear" w:pos="360"/>
          <w:tab w:val="left" w:pos="709" w:leader="none"/>
        </w:tabs>
        <w:spacing w:lineRule="auto" w:line="276" w:before="0" w:after="240"/>
        <w:ind w:hanging="0" w:left="0"/>
        <w:rPr>
          <w:sz w:val="24"/>
          <w:szCs w:val="24"/>
        </w:rPr>
      </w:pPr>
      <w:r>
        <w:rPr>
          <w:rFonts w:cs="Arial" w:ascii="Arial" w:hAnsi="Arial"/>
          <w:color w:themeColor="text1" w:val="000000"/>
          <w:sz w:val="24"/>
          <w:szCs w:val="24"/>
        </w:rPr>
        <w:t>W przypadku grup bez patrona ostatni dokument finansowy do opłacenia w ramach projektu powinien być wystawiony i dostarczony do biura Operatora najpóźniej  na 10 dni przed zakończeniem projektu przez grupę.</w:t>
      </w:r>
    </w:p>
    <w:p>
      <w:pPr>
        <w:pStyle w:val="BodyTextIndent"/>
        <w:tabs>
          <w:tab w:val="clear" w:pos="360"/>
          <w:tab w:val="left" w:pos="709" w:leader="none"/>
        </w:tabs>
        <w:spacing w:lineRule="auto" w:line="276" w:before="0" w:after="240"/>
        <w:ind w:hanging="0" w:left="0"/>
        <w:rPr>
          <w:rFonts w:ascii="Arial" w:hAnsi="Arial" w:cs="Arial"/>
          <w:sz w:val="24"/>
          <w:szCs w:val="24"/>
        </w:rPr>
      </w:pPr>
      <w:r>
        <w:rPr>
          <w:rFonts w:cs="Arial" w:ascii="Arial" w:hAnsi="Arial"/>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15"/>
                    <pic:cNvPicPr>
                      <a:picLocks noChangeAspect="1" noChangeArrowheads="1"/>
                    </pic:cNvPicPr>
                  </pic:nvPicPr>
                  <pic:blipFill>
                    <a:blip r:embed="rId8"/>
                    <a:stretch>
                      <a:fillRect/>
                    </a:stretch>
                  </pic:blipFill>
                  <pic:spPr bwMode="auto">
                    <a:xfrm>
                      <a:off x="0" y="0"/>
                      <a:ext cx="5715000" cy="88900"/>
                    </a:xfrm>
                    <a:prstGeom prst="rect">
                      <a:avLst/>
                    </a:prstGeom>
                    <a:noFill/>
                  </pic:spPr>
                </pic:pic>
              </a:graphicData>
            </a:graphic>
          </wp:inline>
        </w:drawing>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rPr>
          <w:sz w:val="24"/>
          <w:szCs w:val="24"/>
        </w:rPr>
      </w:pPr>
      <w:r>
        <w:rPr>
          <w:rFonts w:cs="Arial" w:ascii="Arial" w:hAnsi="Arial"/>
          <w:b/>
          <w:color w:themeColor="text1" w:val="000000"/>
          <w:sz w:val="24"/>
          <w:szCs w:val="24"/>
        </w:rPr>
        <w:t>IV LICZBA WNIOSKÓW I WYSOKOŚĆ MIKRODOTACJI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rPr>
          <w:sz w:val="24"/>
          <w:szCs w:val="24"/>
        </w:rPr>
      </w:pPr>
      <w:r>
        <w:rPr/>
        <w:drawing>
          <wp:inline distT="0" distB="0" distL="0" distR="0">
            <wp:extent cx="5715000" cy="88900"/>
            <wp:effectExtent l="0" t="0" r="0" b="0"/>
            <wp:docPr id="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6"/>
                    <pic:cNvPicPr>
                      <a:picLocks noChangeAspect="1" noChangeArrowheads="1"/>
                    </pic:cNvPicPr>
                  </pic:nvPicPr>
                  <pic:blipFill>
                    <a:blip r:embed="rId9"/>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1. Jeden Patron/grupa nieformalna może wystąpić tylko z jednym wnioskiem. Złożenie więcej niż jednego wniosku przez jednego Patrona/grupę nieformalną skutkuje ich odrzuceniem.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val="auto"/>
          <w:sz w:val="24"/>
          <w:szCs w:val="24"/>
        </w:rPr>
        <w:t>2.  Jedna MIŚLOP może złożyć maksymalnie dwa wnioski – jeden własny i jeden jako Patron.</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3. Jedna osoba może być członkiem jednej grupy nieformalnej.</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0"/>
        <w:jc w:val="both"/>
        <w:rPr>
          <w:sz w:val="24"/>
          <w:szCs w:val="24"/>
        </w:rPr>
      </w:pPr>
      <w:r>
        <w:rPr>
          <w:rFonts w:cs="Arial" w:ascii="Arial" w:hAnsi="Arial"/>
          <w:color w:themeColor="text1" w:val="000000"/>
          <w:sz w:val="24"/>
          <w:szCs w:val="24"/>
        </w:rPr>
        <w:t>3. Jedna organizacja może być Patronem jednej grupy nieformalnej.</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0"/>
        <w:jc w:val="both"/>
        <w:rPr>
          <w:sz w:val="24"/>
          <w:szCs w:val="24"/>
        </w:rPr>
      </w:pPr>
      <w:r>
        <w:rPr>
          <w:rFonts w:cs="Arial" w:ascii="Arial" w:hAnsi="Arial"/>
          <w:color w:themeColor="text1" w:val="000000"/>
          <w:sz w:val="24"/>
          <w:szCs w:val="24"/>
        </w:rPr>
        <w:t>4. Pracownicy instytucji publicznych oraz organizacji pozarządowych mogą być członkami grup nieformalnych, jednak nie mogą stanowić więcej niż 50% członków grupy.</w:t>
      </w:r>
    </w:p>
    <w:p>
      <w:pPr>
        <w:pStyle w:val="Akapitzlist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left="0"/>
        <w:jc w:val="both"/>
        <w:rPr>
          <w:sz w:val="24"/>
          <w:szCs w:val="24"/>
        </w:rPr>
      </w:pPr>
      <w:r>
        <w:rPr>
          <w:rFonts w:cs="Arial" w:ascii="Arial" w:hAnsi="Arial"/>
          <w:color w:themeColor="text1" w:val="000000"/>
          <w:sz w:val="24"/>
          <w:szCs w:val="24"/>
        </w:rPr>
        <w:t>5. Przedstawiciele Patrona oświadczają we wniosku o mikrodotację, że członkowie grupy nieformalnej nie pełnią funkcji w organach statutowych istniejących organizacji pozarządowych. Oświadczenie jest elementem wniosku o dofinansowanie.</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rPr>
        <w:t xml:space="preserve">6. Wnioski wraz z budżetem projektu można konsultować u właściwego terytorialnie Operatora w trakcie trwania naboru. W tym celu należy przesłać do Operatora </w:t>
      </w:r>
      <w:r>
        <w:rPr>
          <w:rFonts w:cs="Arial" w:ascii="Arial" w:hAnsi="Arial"/>
          <w:b/>
          <w:color w:themeColor="text1" w:val="000000"/>
          <w:sz w:val="24"/>
          <w:szCs w:val="24"/>
        </w:rPr>
        <w:t>wersję roboczą</w:t>
      </w:r>
      <w:r>
        <w:rPr>
          <w:rFonts w:cs="Arial" w:ascii="Arial" w:hAnsi="Arial"/>
          <w:color w:themeColor="text1" w:val="000000"/>
          <w:sz w:val="24"/>
          <w:szCs w:val="24"/>
        </w:rPr>
        <w:t xml:space="preserve"> wypełnionego wstępnie wniosku. Termin doradztwa należy</w:t>
      </w:r>
      <w:r>
        <w:rPr>
          <w:rFonts w:cs="Arial" w:ascii="Arial" w:hAnsi="Arial"/>
          <w:color w:themeColor="text1" w:val="000000"/>
          <w:sz w:val="24"/>
          <w:szCs w:val="24"/>
          <w:u w:val="single"/>
        </w:rPr>
        <w:t xml:space="preserve"> wcześniej </w:t>
      </w:r>
      <w:r>
        <w:rPr>
          <w:rFonts w:cs="Arial" w:ascii="Arial" w:hAnsi="Arial"/>
          <w:color w:val="auto"/>
          <w:sz w:val="24"/>
          <w:szCs w:val="24"/>
          <w:u w:val="single"/>
        </w:rPr>
        <w:t>zarezerwować, wysyłając maila z prośbą o doradztwo</w:t>
      </w:r>
      <w:r>
        <w:rPr>
          <w:rFonts w:cs="Arial" w:ascii="Arial" w:hAnsi="Arial"/>
          <w:color w:val="auto"/>
          <w:sz w:val="24"/>
          <w:szCs w:val="24"/>
        </w:rPr>
        <w:t>. W treści maila należy podać nazwę powiatu, z którego pochodzi oferent oraz na terenie jakich powiatów planuje działania.</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rPr>
        <w:t>Adresy e – mail do korespondencji: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pPr>
      <w:hyperlink r:id="rId10">
        <w:r>
          <w:rPr>
            <w:rStyle w:val="Hyperlink"/>
            <w:rFonts w:cs="Arial" w:ascii="Arial" w:hAnsi="Arial"/>
            <w:color w:themeColor="text1" w:val="000000"/>
            <w:sz w:val="24"/>
            <w:szCs w:val="24"/>
          </w:rPr>
          <w:t>mms@tlok.pl</w:t>
        </w:r>
      </w:hyperlink>
      <w:r>
        <w:rPr>
          <w:rFonts w:cs="Arial" w:ascii="Arial" w:hAnsi="Arial"/>
          <w:color w:themeColor="text1" w:val="000000"/>
          <w:sz w:val="24"/>
          <w:szCs w:val="24"/>
        </w:rPr>
        <w:t xml:space="preserve">  adres do Stowarzyszenia Kujawsko-Pomorski Ośrodek Wsparcia Inicjatyw Pozarządowych TŁOK</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pPr>
      <w:hyperlink r:id="rId11">
        <w:r>
          <w:rPr>
            <w:rStyle w:val="Hyperlink"/>
            <w:rFonts w:cs="Arial" w:ascii="Arial" w:hAnsi="Arial"/>
            <w:color w:themeColor="text1" w:val="000000"/>
            <w:sz w:val="24"/>
            <w:szCs w:val="24"/>
          </w:rPr>
          <w:t>mms@trgp.org.pl</w:t>
        </w:r>
      </w:hyperlink>
      <w:r>
        <w:rPr>
          <w:rFonts w:cs="Arial" w:ascii="Arial" w:hAnsi="Arial"/>
          <w:color w:themeColor="text1" w:val="000000"/>
          <w:sz w:val="24"/>
          <w:szCs w:val="24"/>
        </w:rPr>
        <w:t xml:space="preserve">  – adres do Towarzystwa Rozwoju Gminy Płużnica</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rFonts w:ascii="Arial" w:hAnsi="Arial" w:cs="Arial"/>
          <w:sz w:val="24"/>
          <w:szCs w:val="24"/>
        </w:rPr>
      </w:pPr>
      <w:r>
        <w:rPr>
          <w:rFonts w:cs="Arial" w:ascii="Arial" w:hAnsi="Arial"/>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rFonts w:ascii="Arial" w:hAnsi="Arial" w:cs="Arial"/>
          <w:sz w:val="24"/>
          <w:szCs w:val="24"/>
        </w:rPr>
      </w:pPr>
      <w:r>
        <w:rPr>
          <w:rFonts w:cs="Arial" w:ascii="Arial" w:hAnsi="Arial"/>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color w:themeColor="text1" w:val="000000"/>
          <w:sz w:val="24"/>
          <w:szCs w:val="24"/>
        </w:rPr>
      </w:pPr>
      <w:r>
        <w:rPr>
          <w:rFonts w:cs="Arial" w:ascii="Arial" w:hAnsi="Arial"/>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6"/>
                    <pic:cNvPicPr>
                      <a:picLocks noChangeAspect="1" noChangeArrowheads="1"/>
                    </pic:cNvPicPr>
                  </pic:nvPicPr>
                  <pic:blipFill>
                    <a:blip r:embed="rId12"/>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V KWALIFIKOWALNOŚĆ WYDATKÓW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7"/>
                    <pic:cNvPicPr>
                      <a:picLocks noChangeAspect="1" noChangeArrowheads="1"/>
                    </pic:cNvPicPr>
                  </pic:nvPicPr>
                  <pic:blipFill>
                    <a:blip r:embed="rId13"/>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color w:themeColor="text1" w:val="000000"/>
          <w:sz w:val="24"/>
          <w:szCs w:val="24"/>
        </w:rPr>
      </w:pPr>
      <w:r>
        <w:rPr>
          <w:rFonts w:cs="Arial" w:ascii="Arial" w:hAnsi="Arial"/>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rPr>
        <w:t xml:space="preserve">1. Wydatki w ramach Rządowego Programu Wsparcia Organizacji Pozarządowych - Moc Małych Społeczności </w:t>
      </w:r>
      <w:r>
        <w:rPr>
          <w:rFonts w:cs="Arial" w:ascii="Arial" w:hAnsi="Arial"/>
          <w:b/>
          <w:color w:themeColor="text1" w:val="000000"/>
          <w:sz w:val="24"/>
          <w:szCs w:val="24"/>
        </w:rPr>
        <w:t>są kwalifikowalne</w:t>
      </w:r>
      <w:r>
        <w:rPr>
          <w:rFonts w:cs="Arial" w:ascii="Arial" w:hAnsi="Arial"/>
          <w:color w:themeColor="text1" w:val="000000"/>
          <w:sz w:val="24"/>
          <w:szCs w:val="24"/>
        </w:rPr>
        <w:t xml:space="preserve">, jeżeli: </w:t>
      </w:r>
    </w:p>
    <w:p>
      <w:pPr>
        <w:pStyle w:val="Default"/>
        <w:numPr>
          <w:ilvl w:val="0"/>
          <w:numId w:val="8"/>
        </w:numPr>
        <w:tabs>
          <w:tab w:val="clear" w:pos="720"/>
          <w:tab w:val="left" w:pos="142" w:leader="none"/>
          <w:tab w:val="left" w:pos="709"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 xml:space="preserve">są niezbędne dla realizacji projektu, </w:t>
      </w:r>
    </w:p>
    <w:p>
      <w:pPr>
        <w:pStyle w:val="Default"/>
        <w:numPr>
          <w:ilvl w:val="0"/>
          <w:numId w:val="8"/>
        </w:numPr>
        <w:tabs>
          <w:tab w:val="clear" w:pos="720"/>
          <w:tab w:val="left" w:pos="142" w:leader="none"/>
          <w:tab w:val="left" w:pos="709"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 xml:space="preserve">są racjonalne i efektywne, </w:t>
      </w:r>
    </w:p>
    <w:p>
      <w:pPr>
        <w:pStyle w:val="Default"/>
        <w:numPr>
          <w:ilvl w:val="0"/>
          <w:numId w:val="8"/>
        </w:numPr>
        <w:tabs>
          <w:tab w:val="clear" w:pos="720"/>
          <w:tab w:val="left" w:pos="142" w:leader="none"/>
          <w:tab w:val="left" w:pos="709"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 xml:space="preserve">zostały faktycznie poniesione i udokumentowane w okresie realizacji projektu,tj nie wcześniej niż od dnia podpisania umowy i w okresie realizacji projektu wskazanym w umowie mikrodotacji, </w:t>
      </w:r>
    </w:p>
    <w:p>
      <w:pPr>
        <w:pStyle w:val="Default"/>
        <w:numPr>
          <w:ilvl w:val="0"/>
          <w:numId w:val="8"/>
        </w:numPr>
        <w:tabs>
          <w:tab w:val="clear" w:pos="720"/>
          <w:tab w:val="left" w:pos="142" w:leader="none"/>
          <w:tab w:val="left" w:pos="709"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 xml:space="preserve">zostały przewidziane w budżecie projektu, </w:t>
      </w:r>
    </w:p>
    <w:p>
      <w:pPr>
        <w:pStyle w:val="Default"/>
        <w:numPr>
          <w:ilvl w:val="0"/>
          <w:numId w:val="8"/>
        </w:numPr>
        <w:tabs>
          <w:tab w:val="clear" w:pos="720"/>
          <w:tab w:val="left" w:pos="142" w:leader="none"/>
          <w:tab w:val="left" w:pos="709"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30"/>
        <w:jc w:val="both"/>
        <w:rPr>
          <w:sz w:val="24"/>
          <w:szCs w:val="24"/>
        </w:rPr>
      </w:pPr>
      <w:r>
        <w:rPr>
          <w:rFonts w:cs="Arial" w:ascii="Arial" w:hAnsi="Arial"/>
          <w:color w:themeColor="text1" w:val="000000"/>
          <w:sz w:val="24"/>
          <w:szCs w:val="24"/>
        </w:rPr>
        <w:t>są zgodne ze szczegółowymi wytycznymi określonymi w niniejszym Regulaminie,</w:t>
      </w:r>
    </w:p>
    <w:p>
      <w:pPr>
        <w:pStyle w:val="Default"/>
        <w:numPr>
          <w:ilvl w:val="0"/>
          <w:numId w:val="8"/>
        </w:numPr>
        <w:tabs>
          <w:tab w:val="clear" w:pos="720"/>
          <w:tab w:val="left" w:pos="142" w:leader="none"/>
          <w:tab w:val="left" w:pos="708"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są zgodne z odrębnymi przepisami prawa powszechnie obowiązującego. </w:t>
      </w:r>
    </w:p>
    <w:p>
      <w:pPr>
        <w:pStyle w:val="Normal"/>
        <w:spacing w:before="0" w:after="0"/>
        <w:jc w:val="both"/>
        <w:rPr>
          <w:sz w:val="24"/>
          <w:szCs w:val="24"/>
        </w:rPr>
      </w:pPr>
      <w:r>
        <w:rPr>
          <w:rFonts w:eastAsia="Times New Roman" w:cs="Arial" w:ascii="Arial" w:hAnsi="Arial"/>
          <w:color w:themeColor="text1" w:val="000000"/>
          <w:sz w:val="24"/>
          <w:szCs w:val="24"/>
          <w:lang w:eastAsia="pl-PL"/>
        </w:rPr>
        <w:t>2. Do kosztów, które nie mogą zostać sfinansowane ze środków pochodzących z dotacji należą m.in.:</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rezerwy na pokrycie przeszłych i przyszłych strat lub zobowiązań;</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odsetki z tytułu niezapłaconych w terminie zobowiązań;</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wydatki sfinansowane z innych źródeł;</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nagrody, premie i inne formy gratyfikacji finansowej lub rzeczowej dla osób</w:t>
      </w:r>
    </w:p>
    <w:p>
      <w:pPr>
        <w:pStyle w:val="Normal"/>
        <w:spacing w:before="0" w:after="0"/>
        <w:jc w:val="both"/>
        <w:rPr>
          <w:sz w:val="24"/>
          <w:szCs w:val="24"/>
        </w:rPr>
      </w:pPr>
      <w:r>
        <w:rPr>
          <w:rFonts w:eastAsia="Times New Roman" w:cs="Arial" w:ascii="Arial" w:hAnsi="Arial"/>
          <w:color w:themeColor="text1" w:val="000000"/>
          <w:sz w:val="24"/>
          <w:szCs w:val="24"/>
          <w:lang w:eastAsia="pl-PL"/>
        </w:rPr>
        <w:t>zajmujących się realizacją zadania publicznego;</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podatek od towarów i usług (VAT), jeśli może zostać odliczony w oparciu o ustawę z</w:t>
      </w:r>
    </w:p>
    <w:p>
      <w:pPr>
        <w:pStyle w:val="Normal"/>
        <w:spacing w:before="0" w:after="0"/>
        <w:jc w:val="both"/>
        <w:rPr>
          <w:sz w:val="24"/>
          <w:szCs w:val="24"/>
        </w:rPr>
      </w:pPr>
      <w:r>
        <w:rPr>
          <w:rFonts w:eastAsia="Times New Roman" w:cs="Arial" w:ascii="Arial" w:hAnsi="Arial"/>
          <w:color w:themeColor="text1" w:val="000000"/>
          <w:sz w:val="24"/>
          <w:szCs w:val="24"/>
          <w:lang w:eastAsia="pl-PL"/>
        </w:rPr>
        <w:t>dnia 11 marca 2004 r. o podatku od towarów i usług (Dz. U. z 2024 r. poz. 361 z późn.</w:t>
      </w:r>
    </w:p>
    <w:p>
      <w:pPr>
        <w:pStyle w:val="Normal"/>
        <w:spacing w:before="0" w:after="0"/>
        <w:jc w:val="both"/>
        <w:rPr>
          <w:sz w:val="24"/>
          <w:szCs w:val="24"/>
        </w:rPr>
      </w:pPr>
      <w:r>
        <w:rPr>
          <w:rFonts w:eastAsia="Times New Roman" w:cs="Arial" w:ascii="Arial" w:hAnsi="Arial"/>
          <w:color w:themeColor="text1" w:val="000000"/>
          <w:sz w:val="24"/>
          <w:szCs w:val="24"/>
          <w:lang w:eastAsia="pl-PL"/>
        </w:rPr>
        <w:t>zm.);</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zakupy dokonywane w ramach współwłasności z podmiotem trzecim;</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amortyzacja;</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leasing finansowy - kosztem kwalifikowanym jest leasing operacyjny;</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koszty kar i grzywien;</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koszty procesów sądowych (z wyjątkiem spraw prowadzonych w interesie</w:t>
      </w:r>
    </w:p>
    <w:p>
      <w:pPr>
        <w:pStyle w:val="Normal"/>
        <w:spacing w:before="0" w:after="0"/>
        <w:jc w:val="both"/>
        <w:rPr>
          <w:sz w:val="24"/>
          <w:szCs w:val="24"/>
        </w:rPr>
      </w:pPr>
      <w:r>
        <w:rPr>
          <w:rFonts w:eastAsia="Times New Roman" w:cs="Arial" w:ascii="Arial" w:hAnsi="Arial"/>
          <w:color w:themeColor="text1" w:val="000000"/>
          <w:sz w:val="24"/>
          <w:szCs w:val="24"/>
          <w:lang w:eastAsia="pl-PL"/>
        </w:rPr>
        <w:t>publicznym);</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zakup napojów alkoholowych (jest to niezgodne z art. 1 ust. 1 ustawy z dnia 26</w:t>
      </w:r>
    </w:p>
    <w:p>
      <w:pPr>
        <w:pStyle w:val="Normal"/>
        <w:spacing w:before="0" w:after="0"/>
        <w:jc w:val="both"/>
        <w:rPr>
          <w:sz w:val="24"/>
          <w:szCs w:val="24"/>
        </w:rPr>
      </w:pPr>
      <w:r>
        <w:rPr>
          <w:rFonts w:eastAsia="Times New Roman" w:cs="Arial" w:ascii="Arial" w:hAnsi="Arial"/>
          <w:color w:themeColor="text1" w:val="000000"/>
          <w:sz w:val="24"/>
          <w:szCs w:val="24"/>
          <w:lang w:eastAsia="pl-PL"/>
        </w:rPr>
        <w:t>października 1982 r. o wychowaniu w trzeźwości i przeciwdziałaniu alkoholizmowi (Dz.</w:t>
      </w:r>
    </w:p>
    <w:p>
      <w:pPr>
        <w:pStyle w:val="Normal"/>
        <w:spacing w:before="0" w:after="0"/>
        <w:jc w:val="both"/>
        <w:rPr>
          <w:sz w:val="24"/>
          <w:szCs w:val="24"/>
        </w:rPr>
      </w:pPr>
      <w:r>
        <w:rPr>
          <w:rFonts w:eastAsia="Times New Roman" w:cs="Arial" w:ascii="Arial" w:hAnsi="Arial"/>
          <w:color w:themeColor="text1" w:val="000000"/>
          <w:sz w:val="24"/>
          <w:szCs w:val="24"/>
          <w:lang w:eastAsia="pl-PL"/>
        </w:rPr>
        <w:t>U. z 2023 r. poz. 2151);</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podatki i opłaty z wyłączeniem podatku dochodowego od osób fizycznych, składek na ubezpieczenie społeczne i zdrowotne, składek na Fundusz Pracy oraz Fundusz</w:t>
      </w:r>
    </w:p>
    <w:p>
      <w:pPr>
        <w:pStyle w:val="Normal"/>
        <w:spacing w:before="0" w:after="0"/>
        <w:jc w:val="both"/>
        <w:rPr>
          <w:sz w:val="24"/>
          <w:szCs w:val="24"/>
        </w:rPr>
      </w:pPr>
      <w:r>
        <w:rPr>
          <w:rFonts w:eastAsia="Times New Roman" w:cs="Arial" w:ascii="Arial" w:hAnsi="Arial"/>
          <w:color w:themeColor="text1" w:val="000000"/>
          <w:sz w:val="24"/>
          <w:szCs w:val="24"/>
          <w:lang w:eastAsia="pl-PL"/>
        </w:rPr>
        <w:t>Gwarantowanych Świadczeń Pracowniczych, wpłat na Pracownicze Plany Kapitałowe,</w:t>
      </w:r>
    </w:p>
    <w:p>
      <w:pPr>
        <w:pStyle w:val="Normal"/>
        <w:spacing w:before="0" w:after="0"/>
        <w:jc w:val="both"/>
        <w:rPr>
          <w:sz w:val="24"/>
          <w:szCs w:val="24"/>
        </w:rPr>
      </w:pPr>
      <w:r>
        <w:rPr>
          <w:rFonts w:eastAsia="Times New Roman" w:cs="Arial" w:ascii="Arial" w:hAnsi="Arial"/>
          <w:color w:themeColor="text1" w:val="000000"/>
          <w:sz w:val="24"/>
          <w:szCs w:val="24"/>
          <w:lang w:eastAsia="pl-PL"/>
        </w:rPr>
        <w:t>opłat bankowych (przelewy, przewalutowanie), a także opłat za zaświadczenie o</w:t>
      </w:r>
    </w:p>
    <w:p>
      <w:pPr>
        <w:pStyle w:val="Normal"/>
        <w:spacing w:before="0" w:after="0"/>
        <w:jc w:val="both"/>
        <w:rPr>
          <w:sz w:val="24"/>
          <w:szCs w:val="24"/>
        </w:rPr>
      </w:pPr>
      <w:r>
        <w:rPr>
          <w:rFonts w:eastAsia="Times New Roman" w:cs="Arial" w:ascii="Arial" w:hAnsi="Arial"/>
          <w:color w:themeColor="text1" w:val="000000"/>
          <w:sz w:val="24"/>
          <w:szCs w:val="24"/>
          <w:lang w:eastAsia="pl-PL"/>
        </w:rPr>
        <w:t>niekaralności, opłaty za zajęcie pasa drogowego, opłat notarialnych, opłaty za wydanie</w:t>
      </w:r>
    </w:p>
    <w:p>
      <w:pPr>
        <w:pStyle w:val="Normal"/>
        <w:spacing w:before="0" w:after="0"/>
        <w:jc w:val="both"/>
        <w:rPr>
          <w:sz w:val="24"/>
          <w:szCs w:val="24"/>
        </w:rPr>
      </w:pPr>
      <w:r>
        <w:rPr>
          <w:rFonts w:eastAsia="Times New Roman" w:cs="Arial" w:ascii="Arial" w:hAnsi="Arial"/>
          <w:color w:themeColor="text1" w:val="000000"/>
          <w:sz w:val="24"/>
          <w:szCs w:val="24"/>
          <w:lang w:eastAsia="pl-PL"/>
        </w:rPr>
        <w:t>wizy oraz kosztów związanych z uzyskaniem informacji publicznej (z wyjątkiem</w:t>
      </w:r>
    </w:p>
    <w:p>
      <w:pPr>
        <w:pStyle w:val="Normal"/>
        <w:spacing w:before="0" w:after="0"/>
        <w:jc w:val="both"/>
        <w:rPr>
          <w:sz w:val="24"/>
          <w:szCs w:val="24"/>
        </w:rPr>
      </w:pPr>
      <w:r>
        <w:rPr>
          <w:rFonts w:eastAsia="Times New Roman" w:cs="Arial" w:ascii="Arial" w:hAnsi="Arial"/>
          <w:color w:themeColor="text1" w:val="000000"/>
          <w:sz w:val="24"/>
          <w:szCs w:val="24"/>
          <w:lang w:eastAsia="pl-PL"/>
        </w:rPr>
        <w:t>realizacji działań merytorycznych prowadzonych w interesie ogólnym);</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koszty wyjazdów służbowych osób zaangażowanych w realizację projektu na</w:t>
      </w:r>
    </w:p>
    <w:p>
      <w:pPr>
        <w:pStyle w:val="Normal"/>
        <w:spacing w:before="0" w:after="0"/>
        <w:jc w:val="both"/>
        <w:rPr>
          <w:sz w:val="24"/>
          <w:szCs w:val="24"/>
        </w:rPr>
      </w:pPr>
      <w:r>
        <w:rPr>
          <w:rFonts w:eastAsia="Times New Roman" w:cs="Arial" w:ascii="Arial" w:hAnsi="Arial"/>
          <w:color w:themeColor="text1" w:val="000000"/>
          <w:sz w:val="24"/>
          <w:szCs w:val="24"/>
          <w:lang w:eastAsia="pl-PL"/>
        </w:rPr>
        <w:t>podstawie umowy cywilnoprawnej, chyba że umowa ta określa zasady i sposób</w:t>
      </w:r>
    </w:p>
    <w:p>
      <w:pPr>
        <w:pStyle w:val="Normal"/>
        <w:spacing w:before="0" w:after="0"/>
        <w:jc w:val="both"/>
        <w:rPr>
          <w:sz w:val="24"/>
          <w:szCs w:val="24"/>
        </w:rPr>
      </w:pPr>
      <w:r>
        <w:rPr>
          <w:rFonts w:eastAsia="Times New Roman" w:cs="Arial" w:ascii="Arial" w:hAnsi="Arial"/>
          <w:color w:themeColor="text1" w:val="000000"/>
          <w:sz w:val="24"/>
          <w:szCs w:val="24"/>
          <w:lang w:eastAsia="pl-PL"/>
        </w:rPr>
        <w:t>podróży służbowych;</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inne koszty nieodnoszące się jednoznacznie do zadania publicznego zaplanowanego w treści oferty;</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wydatki poniesione poza terminem wskazanym w umowie,</w:t>
      </w:r>
    </w:p>
    <w:p>
      <w:pPr>
        <w:pStyle w:val="Normal"/>
        <w:spacing w:before="0" w:after="0"/>
        <w:jc w:val="both"/>
        <w:rPr>
          <w:sz w:val="24"/>
          <w:szCs w:val="24"/>
        </w:rPr>
      </w:pPr>
      <w:r>
        <w:rPr>
          <w:rFonts w:eastAsia="Times New Roman" w:cs="Arial" w:ascii="Arial" w:hAnsi="Arial"/>
          <w:color w:themeColor="text1" w:val="000000"/>
          <w:sz w:val="24"/>
          <w:szCs w:val="24"/>
          <w:lang w:eastAsia="pl-PL"/>
        </w:rPr>
        <w:t xml:space="preserve">• </w:t>
      </w:r>
      <w:r>
        <w:rPr>
          <w:rFonts w:eastAsia="Times New Roman" w:cs="Arial" w:ascii="Arial" w:hAnsi="Arial"/>
          <w:color w:themeColor="text1" w:val="000000"/>
          <w:sz w:val="24"/>
          <w:szCs w:val="24"/>
          <w:lang w:eastAsia="pl-PL"/>
        </w:rPr>
        <w:t>wydatki majątkowe (w rozumieniu art. 3 ust. 1 pkt 14-15 ustawy z dnia 29 września</w:t>
      </w:r>
    </w:p>
    <w:p>
      <w:pPr>
        <w:pStyle w:val="Normal"/>
        <w:spacing w:before="0" w:after="0"/>
        <w:jc w:val="both"/>
        <w:rPr>
          <w:sz w:val="24"/>
          <w:szCs w:val="24"/>
        </w:rPr>
      </w:pPr>
      <w:r>
        <w:rPr>
          <w:rFonts w:eastAsia="Times New Roman" w:cs="Arial" w:ascii="Arial" w:hAnsi="Arial"/>
          <w:color w:themeColor="text1" w:val="000000"/>
          <w:sz w:val="24"/>
          <w:szCs w:val="24"/>
          <w:lang w:eastAsia="pl-PL"/>
        </w:rPr>
        <w:t>1994 r. o rachunkowości (t.j. Dz. U. z 2023 r. poz. 120 z późn. zm.) i art. 16a ust. 1 w</w:t>
      </w:r>
    </w:p>
    <w:p>
      <w:pPr>
        <w:pStyle w:val="Normal"/>
        <w:spacing w:before="0" w:after="0"/>
        <w:jc w:val="both"/>
        <w:rPr>
          <w:sz w:val="24"/>
          <w:szCs w:val="24"/>
        </w:rPr>
      </w:pPr>
      <w:r>
        <w:rPr>
          <w:rFonts w:eastAsia="Times New Roman" w:cs="Arial" w:ascii="Arial" w:hAnsi="Arial"/>
          <w:color w:themeColor="text1" w:val="000000"/>
          <w:sz w:val="24"/>
          <w:szCs w:val="24"/>
          <w:lang w:eastAsia="pl-PL"/>
        </w:rPr>
        <w:t>zw. z art. 16d ust. 1 ustawy z dnia 15 lutego 1992 r. o podatku dochodowym od osób</w:t>
      </w:r>
    </w:p>
    <w:p>
      <w:pPr>
        <w:pStyle w:val="Normal"/>
        <w:spacing w:before="0" w:after="0"/>
        <w:jc w:val="both"/>
        <w:rPr>
          <w:sz w:val="24"/>
          <w:szCs w:val="24"/>
        </w:rPr>
      </w:pPr>
      <w:r>
        <w:rPr>
          <w:rFonts w:eastAsia="Times New Roman" w:cs="Arial" w:ascii="Arial" w:hAnsi="Arial"/>
          <w:color w:themeColor="text1" w:val="000000"/>
          <w:sz w:val="24"/>
          <w:szCs w:val="24"/>
          <w:lang w:eastAsia="pl-PL"/>
        </w:rPr>
        <w:t>prawnych (t.j. Dz. U. z 2022 r. poz. 2587 z późn. zm.) - w tym:</w:t>
      </w:r>
    </w:p>
    <w:p>
      <w:pPr>
        <w:pStyle w:val="ListParagraph"/>
        <w:numPr>
          <w:ilvl w:val="1"/>
          <w:numId w:val="11"/>
        </w:numPr>
        <w:spacing w:lineRule="auto" w:line="276"/>
        <w:jc w:val="both"/>
        <w:rPr>
          <w:sz w:val="24"/>
          <w:szCs w:val="24"/>
        </w:rPr>
      </w:pPr>
      <w:r>
        <w:rPr>
          <w:rFonts w:cs="Arial" w:ascii="Arial" w:hAnsi="Arial"/>
          <w:color w:themeColor="text1" w:val="000000"/>
          <w:sz w:val="24"/>
          <w:szCs w:val="24"/>
        </w:rPr>
        <w:t>nieruchomości – w tym grunty,</w:t>
      </w:r>
    </w:p>
    <w:p>
      <w:pPr>
        <w:pStyle w:val="ListParagraph"/>
        <w:numPr>
          <w:ilvl w:val="1"/>
          <w:numId w:val="12"/>
        </w:numPr>
        <w:spacing w:lineRule="auto" w:line="276"/>
        <w:jc w:val="both"/>
        <w:rPr>
          <w:sz w:val="24"/>
          <w:szCs w:val="24"/>
        </w:rPr>
      </w:pPr>
      <w:r>
        <w:rPr>
          <w:rFonts w:cs="Arial" w:ascii="Arial" w:hAnsi="Arial"/>
          <w:color w:themeColor="text1" w:val="000000"/>
          <w:sz w:val="24"/>
          <w:szCs w:val="24"/>
        </w:rPr>
        <w:t>maszyny i urządzenia o wartości powyżej 10.000 zł,</w:t>
      </w:r>
    </w:p>
    <w:p>
      <w:pPr>
        <w:pStyle w:val="ListParagraph"/>
        <w:numPr>
          <w:ilvl w:val="1"/>
          <w:numId w:val="13"/>
        </w:numPr>
        <w:spacing w:lineRule="auto" w:line="276"/>
        <w:jc w:val="both"/>
        <w:rPr>
          <w:sz w:val="24"/>
          <w:szCs w:val="24"/>
        </w:rPr>
      </w:pPr>
      <w:r>
        <w:rPr>
          <w:rFonts w:cs="Arial" w:ascii="Arial" w:hAnsi="Arial"/>
          <w:color w:themeColor="text1" w:val="000000"/>
          <w:sz w:val="24"/>
          <w:szCs w:val="24"/>
        </w:rPr>
        <w:t>środki transportu o wartości powyżej 10.000 zł,</w:t>
      </w:r>
    </w:p>
    <w:p>
      <w:pPr>
        <w:pStyle w:val="ListParagraph"/>
        <w:numPr>
          <w:ilvl w:val="1"/>
          <w:numId w:val="14"/>
        </w:numPr>
        <w:spacing w:lineRule="auto" w:line="276"/>
        <w:jc w:val="both"/>
        <w:rPr>
          <w:sz w:val="24"/>
          <w:szCs w:val="24"/>
        </w:rPr>
      </w:pPr>
      <w:r>
        <w:rPr>
          <w:rFonts w:cs="Arial" w:ascii="Arial" w:hAnsi="Arial"/>
          <w:color w:themeColor="text1" w:val="000000"/>
          <w:sz w:val="24"/>
          <w:szCs w:val="24"/>
        </w:rPr>
        <w:t>utworzenie lub modernizacja stron internetowych i aplikacji o wartości powyżej10.000 zł,</w:t>
      </w:r>
    </w:p>
    <w:p>
      <w:pPr>
        <w:pStyle w:val="ListParagraph"/>
        <w:numPr>
          <w:ilvl w:val="1"/>
          <w:numId w:val="15"/>
        </w:numPr>
        <w:spacing w:lineRule="auto" w:line="276"/>
        <w:jc w:val="both"/>
        <w:rPr>
          <w:sz w:val="24"/>
          <w:szCs w:val="24"/>
        </w:rPr>
      </w:pPr>
      <w:r>
        <w:rPr>
          <w:rFonts w:cs="Arial" w:ascii="Arial" w:hAnsi="Arial"/>
          <w:color w:themeColor="text1" w:val="000000"/>
          <w:sz w:val="24"/>
          <w:szCs w:val="24"/>
        </w:rPr>
        <w:t>pozostałe wartości niematerialne i prawne (autorskie prawa majątkowe, prawa pokrewne, licencje, koncesje itp., know-how) powyżej 10.000 zł, których przewidywany okres używania jest dłuższy niż rok oraz zostały przeznaczone na potrzeby własne jednostki lub oddane do używania na podstawie umów najmu czy dzierżawy,</w:t>
      </w:r>
    </w:p>
    <w:p>
      <w:pPr>
        <w:pStyle w:val="ListParagraph"/>
        <w:numPr>
          <w:ilvl w:val="1"/>
          <w:numId w:val="16"/>
        </w:numPr>
        <w:spacing w:lineRule="auto" w:line="276" w:before="0" w:after="240"/>
        <w:jc w:val="both"/>
        <w:rPr>
          <w:sz w:val="24"/>
          <w:szCs w:val="24"/>
        </w:rPr>
      </w:pPr>
      <w:r>
        <w:rPr>
          <w:rFonts w:cs="Arial" w:ascii="Arial" w:hAnsi="Arial"/>
          <w:color w:themeColor="text1" w:val="000000"/>
          <w:sz w:val="24"/>
          <w:szCs w:val="24"/>
        </w:rPr>
        <w:t>inwentarz żywy.</w:t>
      </w:r>
    </w:p>
    <w:p>
      <w:pPr>
        <w:pStyle w:val="Normal"/>
        <w:spacing w:before="0" w:after="240"/>
        <w:jc w:val="both"/>
        <w:rPr>
          <w:sz w:val="24"/>
          <w:szCs w:val="24"/>
        </w:rPr>
      </w:pPr>
      <w:r>
        <w:rPr>
          <w:rFonts w:cs="Arial" w:ascii="Arial" w:hAnsi="Arial"/>
          <w:color w:themeColor="text1" w:val="000000"/>
          <w:sz w:val="24"/>
          <w:szCs w:val="24"/>
        </w:rPr>
        <w:t xml:space="preserve">3. W przypadku MIŚLOP i grup z Patronem dopuszczalne jest ponoszenie kosztów poza granicami Polski, jednakże zadania powinny być realizowane na terenie Polski. </w:t>
      </w:r>
    </w:p>
    <w:p>
      <w:pPr>
        <w:pStyle w:val="Normal"/>
        <w:spacing w:before="0" w:after="240"/>
        <w:jc w:val="both"/>
        <w:rPr>
          <w:sz w:val="24"/>
          <w:szCs w:val="24"/>
        </w:rPr>
      </w:pPr>
      <w:r>
        <w:rPr>
          <w:rFonts w:cs="Arial" w:ascii="Arial" w:hAnsi="Arial"/>
          <w:color w:themeColor="text1" w:val="000000"/>
          <w:sz w:val="24"/>
          <w:szCs w:val="24"/>
        </w:rPr>
        <w:t>Natomiast grupy nieformalne bez patrona nie mogą nabywać towarów i usług od podmiotów, których usługodawcy nie posiadają siedziby działalności gospodarczej oraz stałego miejsca prowadzenia działalności gospodarczej na terytorium Polski.</w:t>
      </w:r>
    </w:p>
    <w:p>
      <w:pPr>
        <w:pStyle w:val="Normal"/>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240"/>
        <w:jc w:val="both"/>
        <w:rPr>
          <w:sz w:val="24"/>
          <w:szCs w:val="24"/>
        </w:rPr>
      </w:pPr>
      <w:r>
        <w:rPr>
          <w:rFonts w:cs="Arial" w:ascii="Arial" w:hAnsi="Arial"/>
          <w:color w:themeColor="text1" w:val="000000"/>
          <w:sz w:val="24"/>
          <w:szCs w:val="24"/>
        </w:rPr>
        <w:t>4. W przypadku, gdy MiŚLOP lub Patron nie ma możliwości odzyskania podatku VAT, wszelkie koszty wskazane w budżecie są kosztami brutto, co oznacza, że w takiej sytuacji podatek VAT jest kosztem kwalifikowalnym z wyłączeniem:</w:t>
      </w:r>
    </w:p>
    <w:p>
      <w:pPr>
        <w:pStyle w:val="ListParagraph"/>
        <w:numPr>
          <w:ilvl w:val="1"/>
          <w:numId w:val="3"/>
        </w:numPr>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40"/>
        <w:jc w:val="both"/>
        <w:rPr/>
      </w:pPr>
      <w:r>
        <w:rPr>
          <w:rFonts w:cs="Arial" w:ascii="Arial" w:hAnsi="Arial"/>
          <w:color w:themeColor="text1" w:val="000000"/>
          <w:sz w:val="24"/>
          <w:szCs w:val="24"/>
        </w:rPr>
        <w:t>podatku od towarów i usług (VAT), jeśli dotyczy importu usług, o którym mowa w ustawie z dnia 11 marca 2004 r. o podatku od towarów i usług (</w:t>
      </w:r>
      <w:r>
        <w:rPr>
          <w:rStyle w:val="colour"/>
          <w:rFonts w:cs="Arial" w:ascii="Arial" w:hAnsi="Arial"/>
          <w:color w:themeColor="text1" w:val="000000"/>
          <w:sz w:val="24"/>
          <w:szCs w:val="24"/>
        </w:rPr>
        <w:t>t.j. Dz. U. z 2021 r. poz. 685 z późn. zm.</w:t>
      </w:r>
      <w:r>
        <w:rPr>
          <w:rFonts w:cs="Arial" w:ascii="Arial" w:hAnsi="Arial"/>
          <w:color w:themeColor="text1" w:val="000000"/>
          <w:sz w:val="24"/>
          <w:szCs w:val="24"/>
        </w:rPr>
        <w:t>);</w:t>
      </w:r>
    </w:p>
    <w:p>
      <w:pPr>
        <w:pStyle w:val="ListParagraph"/>
        <w:numPr>
          <w:ilvl w:val="1"/>
          <w:numId w:val="3"/>
        </w:numPr>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40"/>
        <w:jc w:val="both"/>
        <w:rPr>
          <w:sz w:val="24"/>
          <w:szCs w:val="24"/>
        </w:rPr>
      </w:pPr>
      <w:r>
        <w:rPr>
          <w:rFonts w:cs="Arial" w:ascii="Arial" w:hAnsi="Arial"/>
          <w:color w:themeColor="text1" w:val="000000"/>
          <w:sz w:val="24"/>
          <w:szCs w:val="24"/>
        </w:rPr>
        <w:t xml:space="preserve">podatku od towarów i usług (VAT), jeśli dotyczy importu towarów lub wewnątrzwspólnotowego nabycia towarów, o których mowa w ustawie z dnia 11 marca 2004 r. o podatku od towarów i usług (t.j. Dz. U. z 2021 r. poz. 685 z późn. zm.); </w:t>
      </w:r>
    </w:p>
    <w:p>
      <w:pPr>
        <w:pStyle w:val="Normal"/>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240"/>
        <w:jc w:val="both"/>
        <w:rPr>
          <w:sz w:val="24"/>
          <w:szCs w:val="24"/>
        </w:rPr>
      </w:pPr>
      <w:r>
        <w:rPr>
          <w:rFonts w:cs="Arial" w:ascii="Arial" w:hAnsi="Arial"/>
          <w:color w:themeColor="text1" w:val="000000"/>
          <w:sz w:val="24"/>
          <w:szCs w:val="24"/>
        </w:rPr>
        <w:t>Natomiast w sytuacji, kiedy MiŚLOP lub Patron jest uprawniony do odzyskania podatku VAT, ustala w budżecie koszty netto, a podatek VAT jest w takiej sytuacji kosztem niekwalifikowalnym. Aktem prawnym, w oparciu o który należy badać możliwość odzyskania podatku VAT, jest ustawa z dnia 11 marca 2004 r. o podatku od towarów i usług (Dz. U. z 2018 r., poz. 2174 z późn. zm.).</w:t>
      </w:r>
    </w:p>
    <w:p>
      <w:pPr>
        <w:pStyle w:val="Normal"/>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240"/>
        <w:jc w:val="both"/>
        <w:rPr>
          <w:sz w:val="24"/>
          <w:szCs w:val="24"/>
        </w:rPr>
      </w:pPr>
      <w:r>
        <w:rPr>
          <w:rFonts w:cs="Arial" w:ascii="Arial" w:hAnsi="Arial"/>
          <w:color w:themeColor="text1" w:val="000000"/>
          <w:sz w:val="24"/>
          <w:szCs w:val="24"/>
        </w:rPr>
        <w:t>W sytuacji, kiedy Zleceniobiorca jest uprawniony do odzyskania podatku VAT (podatnik według ustawy o VAT) składa oświadczenie o braku możliwości ubiegania się o zwrot podatku VAT z tytułu wydatków poniesionych na realizację projektu, w takim przypadku budżet ustalany jest w kwotach brutto. Niezłożenie oświadczenia, o którym mowa powyżej oznacza, iż wnioskodawca ma możliwość odzyskania wydatków poniesionych na realizację projektu, w takim przypadku budżet ustalany jest w kwotach netto. W przypadku uzyskania możliwości odzyskaniu podatku VAT przez Zleceniobiorcy po podpisaniu umowy, zadanie realizowane jest zgodnie ze stanem faktycznym na dzień podpisania umowy.</w:t>
      </w:r>
    </w:p>
    <w:p>
      <w:pPr>
        <w:pStyle w:val="Tekstpodstawowywcity1"/>
        <w:tabs>
          <w:tab w:val="clear" w:pos="360"/>
          <w:tab w:val="left" w:pos="28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hanging="0" w:left="0"/>
        <w:rPr>
          <w:sz w:val="24"/>
          <w:szCs w:val="24"/>
        </w:rPr>
      </w:pPr>
      <w:r>
        <w:rPr>
          <w:rFonts w:cs="Arial" w:ascii="Arial" w:hAnsi="Arial"/>
          <w:color w:themeColor="text1" w:val="000000"/>
          <w:sz w:val="24"/>
          <w:szCs w:val="24"/>
        </w:rPr>
        <w:t>5. Przy dokonywaniu zakupów rekomendowane jest uwzględnianie w zakupach aspektów środowiskowych.</w:t>
      </w:r>
    </w:p>
    <w:p>
      <w:pPr>
        <w:pStyle w:val="Tekstpodstawowywcity1"/>
        <w:tabs>
          <w:tab w:val="clear" w:pos="360"/>
          <w:tab w:val="left" w:pos="28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hanging="0" w:left="0"/>
        <w:rPr>
          <w:sz w:val="24"/>
          <w:szCs w:val="24"/>
        </w:rPr>
      </w:pPr>
      <w:r>
        <w:rPr>
          <w:rFonts w:cs="Arial" w:ascii="Arial" w:hAnsi="Arial"/>
          <w:color w:themeColor="text1" w:val="000000"/>
          <w:sz w:val="24"/>
          <w:szCs w:val="24"/>
        </w:rPr>
        <w:t>6. Niedozwolone jest podwójne finansowanie wydatku, czyli całkowite lub częściowe pokrycie tego samego wydatku dwa razy ze środków publicznych, zarówno krajowych jak i wspólnotowych.</w:t>
      </w:r>
    </w:p>
    <w:p>
      <w:pPr>
        <w:pStyle w:val="ListParagraph"/>
        <w:tabs>
          <w:tab w:val="clear" w:pos="720"/>
          <w:tab w:val="left" w:pos="2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jc w:val="both"/>
        <w:rPr>
          <w:sz w:val="24"/>
          <w:szCs w:val="24"/>
        </w:rPr>
      </w:pPr>
      <w:r>
        <w:rPr>
          <w:rFonts w:cs="Arial" w:ascii="Arial" w:hAnsi="Arial"/>
          <w:color w:themeColor="text1" w:val="000000"/>
          <w:sz w:val="24"/>
          <w:szCs w:val="24"/>
        </w:rPr>
        <w:t xml:space="preserve">7. Organizacje aplikujące w konkursie (zarówno MIŚLOP, jak i Patroni) zobligowane są do prowadzenia pełnej księgowości zgodnie z ustawą z dnia 29 września 1994 r. o rachunkowości (Dz. U. 2019 poz. 351 z późn. zm.) lub uproszczonej ewidencji przychodów i kosztów zgodnie z Rozporządzeniem Ministra Finansów z dnia 22 października 2018 r. w sprawie prowadzenia uproszczonej ewidencji przychodów i kosztów przez niektóre organizacje pozarządowe oraz stowarzyszenia jednostek samorządu terytorialnego (Dz. U. 2018, poz. 2050 z późn. zm.) lub uproszczonej ewidencji przychodów i kosztów zgodnie z Rozporządzeniem Ministra Finansów z dnia 7 stycznia 2019 r. w sprawie prowadzenia uproszczonej ewidencji przychodów i kosztów przez koła gospodyń wiejskich (Dz. U. 2019, poz. 70 z późn. zm.). </w:t>
      </w:r>
    </w:p>
    <w:p>
      <w:pPr>
        <w:pStyle w:val="ListParagraph"/>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40"/>
        <w:ind w:left="0"/>
        <w:jc w:val="both"/>
        <w:rPr>
          <w:sz w:val="24"/>
          <w:szCs w:val="24"/>
        </w:rPr>
      </w:pPr>
      <w:r>
        <w:rPr>
          <w:rFonts w:cs="Arial" w:ascii="Arial" w:hAnsi="Arial"/>
          <w:color w:themeColor="text1" w:val="000000"/>
          <w:sz w:val="24"/>
          <w:szCs w:val="24"/>
        </w:rPr>
        <w:t>Jednocześnie organizacje zobowiązują się, w przypadku podpisania umowy o dofinansowanie, przedstawić na żądanie Operatorowi lub Instytucji Zarządzającej dokumentację księgową w zakresie związanym z realizowanym projektem.</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rFonts w:eastAsia="Times New Roman" w:cs="Arial" w:ascii="Arial" w:hAnsi="Arial"/>
          <w:color w:themeColor="text1" w:val="000000"/>
          <w:sz w:val="24"/>
          <w:szCs w:val="24"/>
          <w:lang w:eastAsia="pl-PL"/>
        </w:rPr>
        <w:t>8. W przypadku znacznej liczby błędów w składanych dokumentach dotyczących realizowanego projektu i niestosowania się do zaleceń Operatora, może on uznać za wydatek niekwalifikowalny, w całości lub w części, koszt wynagrodzenia personelu zatrudnionego do obsługi projektu.</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t>9. W przypadku rażącego naruszenia postanowień umowy przez przedstawiciela/li MiŚLOP, Patrona, lidera grupy, nieuwzględniania zaleceń Operatora, utrudniania mu przeprowadzenia monitoringu działań w ramach projektu lub kontroli dokumentacji związanej z projektem, Operator może uznać całość lub część mikrodotacji za wydatek niekwalifikowalny i wezwać do zwrotu środków.</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both"/>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Arial" w:hAnsi="Arial" w:eastAsia="Times New Roman" w:cs="Arial"/>
          <w:color w:themeColor="text1" w:val="000000"/>
          <w:sz w:val="24"/>
          <w:szCs w:val="24"/>
          <w:lang w:eastAsia="pl-PL"/>
        </w:rPr>
      </w:pPr>
      <w:r>
        <w:rPr>
          <w:rFonts w:eastAsia="Times New Roman" w:cs="Arial" w:ascii="Arial" w:hAnsi="Arial"/>
          <w:color w:themeColor="text1" w:val="000000"/>
          <w:sz w:val="24"/>
          <w:szCs w:val="24"/>
          <w:lang w:eastAsia="pl-PL"/>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8"/>
                    <pic:cNvPicPr>
                      <a:picLocks noChangeAspect="1" noChangeArrowheads="1"/>
                    </pic:cNvPicPr>
                  </pic:nvPicPr>
                  <pic:blipFill>
                    <a:blip r:embed="rId14"/>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VI SPOSÓB WYŁANIANIA GRANTOBIORCÓW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9"/>
                    <pic:cNvPicPr>
                      <a:picLocks noChangeAspect="1" noChangeArrowheads="1"/>
                    </pic:cNvPicPr>
                  </pic:nvPicPr>
                  <pic:blipFill>
                    <a:blip r:embed="rId15"/>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KRYTERIA FORMALNE</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color w:themeColor="text1" w:val="000000"/>
          <w:sz w:val="24"/>
          <w:szCs w:val="24"/>
        </w:rPr>
      </w:pPr>
      <w:r>
        <w:rPr>
          <w:rFonts w:cs="Arial" w:ascii="Arial" w:hAnsi="Arial"/>
          <w:color w:themeColor="text1" w:val="000000"/>
          <w:sz w:val="24"/>
          <w:szCs w:val="24"/>
        </w:rPr>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jc w:val="both"/>
        <w:rPr/>
      </w:pPr>
      <w:r>
        <w:rPr>
          <w:rFonts w:cs="Arial" w:ascii="Arial" w:hAnsi="Arial"/>
          <w:color w:themeColor="text1" w:val="000000"/>
          <w:sz w:val="24"/>
          <w:szCs w:val="24"/>
        </w:rPr>
        <w:t xml:space="preserve">1. Ogłoszenie o rozpoczęciu naboru ofert zostanie opublikowane na stronach internetowych Operatorów: </w:t>
      </w:r>
      <w:hyperlink r:id="rId16">
        <w:r>
          <w:rPr>
            <w:rStyle w:val="Style7"/>
            <w:rFonts w:cs="Arial" w:ascii="Arial" w:hAnsi="Arial"/>
            <w:color w:themeColor="text1" w:val="000000"/>
            <w:sz w:val="24"/>
            <w:szCs w:val="24"/>
            <w:u w:val="single"/>
          </w:rPr>
          <w:t>www.tlok.pl</w:t>
        </w:r>
      </w:hyperlink>
      <w:r>
        <w:rPr>
          <w:rFonts w:cs="Arial" w:ascii="Arial" w:hAnsi="Arial"/>
          <w:color w:themeColor="text1" w:val="000000"/>
          <w:sz w:val="24"/>
          <w:szCs w:val="24"/>
        </w:rPr>
        <w:t xml:space="preserve"> i </w:t>
      </w:r>
      <w:hyperlink r:id="rId17">
        <w:r>
          <w:rPr>
            <w:rStyle w:val="Style7"/>
            <w:rFonts w:cs="Arial" w:ascii="Arial" w:hAnsi="Arial"/>
            <w:color w:themeColor="text1" w:val="000000"/>
            <w:sz w:val="24"/>
            <w:szCs w:val="24"/>
            <w:u w:val="single"/>
          </w:rPr>
          <w:t>www.trgp.org.pl</w:t>
        </w:r>
      </w:hyperlink>
      <w:r>
        <w:rPr>
          <w:rFonts w:cs="Arial" w:ascii="Arial" w:hAnsi="Arial"/>
          <w:color w:themeColor="text1" w:val="000000"/>
          <w:sz w:val="24"/>
          <w:szCs w:val="24"/>
        </w:rPr>
        <w:t>. Równocześnie ogłoszenie może zostać opublikowane w lokalnej prasie lub innych wybranych mediach lokalnych i regionalnych obejmujących terytorium woj. kujawsko-pomorskiego.</w:t>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jc w:val="both"/>
        <w:rPr>
          <w:sz w:val="24"/>
          <w:szCs w:val="24"/>
        </w:rPr>
      </w:pPr>
      <w:r>
        <w:rPr>
          <w:rFonts w:cs="Arial" w:ascii="Arial" w:hAnsi="Arial"/>
          <w:color w:themeColor="text1" w:val="000000"/>
          <w:sz w:val="24"/>
          <w:szCs w:val="24"/>
        </w:rPr>
        <w:t xml:space="preserve">Nabór prowadzony będzie w sposób ciągły, by zapewnić płynną realizację projektów i nie wstrzymywać wnioskodawców którzy są już gotowi do działania. W związku z tym ocena wniosków będzie prowadzana na bieżąco. Wnioski można składać od </w:t>
      </w:r>
      <w:r>
        <w:rPr>
          <w:rFonts w:cs="Arial" w:ascii="Arial" w:hAnsi="Arial"/>
          <w:sz w:val="24"/>
          <w:szCs w:val="24"/>
        </w:rPr>
        <w:t>dnia ogłoszenia konkursu.</w:t>
      </w:r>
    </w:p>
    <w:p>
      <w:pPr>
        <w:pStyle w:val="Default"/>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jc w:val="both"/>
        <w:rPr>
          <w:sz w:val="24"/>
          <w:szCs w:val="24"/>
        </w:rPr>
      </w:pPr>
      <w:r>
        <w:rPr>
          <w:rFonts w:cs="Arial" w:ascii="Arial" w:hAnsi="Arial"/>
          <w:color w:val="auto"/>
          <w:sz w:val="24"/>
          <w:szCs w:val="24"/>
        </w:rPr>
        <w:t>2. Wnioski podpisane przez upoważnione osoby wraz z podpisanym budżetem należy złożyć w formie papierowej w 2 egzemplarzach (kompletach) do właściwego Operatora ze względu na siedzibę MIŚLOP/Patrona lub planowany obszar działań grupy:</w:t>
      </w:r>
    </w:p>
    <w:p>
      <w:pPr>
        <w:pStyle w:val="Default"/>
        <w:spacing w:lineRule="auto" w:line="276"/>
        <w:jc w:val="both"/>
        <w:rPr>
          <w:sz w:val="24"/>
          <w:szCs w:val="24"/>
        </w:rPr>
      </w:pPr>
      <w:r>
        <w:rPr>
          <w:rFonts w:cs="Arial" w:ascii="Arial" w:hAnsi="Arial"/>
          <w:b/>
          <w:color w:themeColor="text1" w:val="000000"/>
          <w:sz w:val="24"/>
          <w:szCs w:val="24"/>
        </w:rPr>
        <w:t>- dla wnioskodawców z powiatów: toruńskiego, golubsko-dobrzyńskiego, rypińskiego, lipnowskiego, aleksandrowskiego, radziejowskiego, inowrocławskiego, włocławskiego, mogileńskiego, bydgoskiego, m. Włocławek:</w:t>
      </w:r>
    </w:p>
    <w:p>
      <w:pPr>
        <w:pStyle w:val="Default"/>
        <w:spacing w:lineRule="auto" w:line="276"/>
        <w:jc w:val="both"/>
        <w:rPr>
          <w:sz w:val="24"/>
          <w:szCs w:val="24"/>
        </w:rPr>
      </w:pPr>
      <w:r>
        <w:rPr>
          <w:rFonts w:cs="Arial" w:ascii="Arial" w:hAnsi="Arial"/>
          <w:color w:themeColor="text1" w:val="000000"/>
          <w:sz w:val="24"/>
          <w:szCs w:val="24"/>
        </w:rPr>
        <w:t>Stowarzyszenie Kujawsko-Pomorski Ośrodek Wsparcia Inicjatyw Pozarządowych TŁOK</w:t>
      </w:r>
    </w:p>
    <w:p>
      <w:pPr>
        <w:pStyle w:val="Default"/>
        <w:spacing w:lineRule="auto" w:line="276"/>
        <w:jc w:val="both"/>
        <w:rPr>
          <w:sz w:val="24"/>
          <w:szCs w:val="24"/>
        </w:rPr>
      </w:pPr>
      <w:r>
        <w:rPr>
          <w:rFonts w:cs="Arial" w:ascii="Arial" w:hAnsi="Arial"/>
          <w:color w:themeColor="text1" w:val="000000"/>
          <w:sz w:val="24"/>
          <w:szCs w:val="24"/>
        </w:rPr>
        <w:t>ul. Bartkiewiczówny 69, 87-100 Toruń</w:t>
      </w:r>
    </w:p>
    <w:p>
      <w:pPr>
        <w:pStyle w:val="Default"/>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spacing w:lineRule="auto" w:line="276"/>
        <w:jc w:val="both"/>
        <w:rPr>
          <w:rFonts w:ascii="Arial" w:hAnsi="Arial" w:cs="Arial"/>
          <w:strike/>
          <w:sz w:val="24"/>
          <w:szCs w:val="24"/>
        </w:rPr>
      </w:pPr>
      <w:r>
        <w:rPr>
          <w:rFonts w:cs="Arial" w:ascii="Arial" w:hAnsi="Arial"/>
          <w:strike/>
          <w:sz w:val="24"/>
          <w:szCs w:val="24"/>
        </w:rPr>
      </w:r>
    </w:p>
    <w:p>
      <w:pPr>
        <w:pStyle w:val="Default"/>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spacing w:lineRule="auto" w:line="276"/>
        <w:jc w:val="both"/>
        <w:rPr>
          <w:sz w:val="24"/>
          <w:szCs w:val="24"/>
        </w:rPr>
      </w:pPr>
      <w:r>
        <w:rPr>
          <w:rFonts w:cs="Arial" w:ascii="Arial" w:hAnsi="Arial"/>
          <w:b/>
          <w:color w:themeColor="text1" w:val="000000"/>
          <w:sz w:val="24"/>
          <w:szCs w:val="24"/>
        </w:rPr>
        <w:t>- dla wnioskodawców z powiatów: brodnickiego, wąbrzeskiego, grudziądzkiego, m. Grudziądz (jedyne miasto w woj. kujawsko-pomorskim na prawach powiatu liczące mniej niż 100 tys. mieszkańców), chełmińskiego, świeckiego, tucholskiego, sępoleńskiego, nakielskiego, żnińskiego:</w:t>
      </w:r>
    </w:p>
    <w:p>
      <w:pPr>
        <w:pStyle w:val="Default"/>
        <w:spacing w:lineRule="auto" w:line="276"/>
        <w:jc w:val="both"/>
        <w:rPr>
          <w:sz w:val="24"/>
          <w:szCs w:val="24"/>
        </w:rPr>
      </w:pPr>
      <w:r>
        <w:rPr>
          <w:rFonts w:cs="Arial" w:ascii="Arial" w:hAnsi="Arial"/>
          <w:color w:themeColor="text1" w:val="000000"/>
          <w:sz w:val="24"/>
          <w:szCs w:val="24"/>
        </w:rPr>
        <w:t>Towarzystwo Rozwoju Gminy Płużnica 37A, 87-214 Płużnica</w:t>
      </w:r>
    </w:p>
    <w:p>
      <w:pPr>
        <w:pStyle w:val="Default"/>
        <w:spacing w:lineRule="auto" w:line="276"/>
        <w:jc w:val="both"/>
        <w:rPr>
          <w:rFonts w:ascii="Arial" w:hAnsi="Arial" w:cs="Arial"/>
          <w:color w:val="FF4000"/>
          <w:sz w:val="24"/>
          <w:szCs w:val="24"/>
        </w:rPr>
      </w:pPr>
      <w:r>
        <w:rPr>
          <w:rFonts w:cs="Arial" w:ascii="Arial" w:hAnsi="Arial"/>
          <w:color w:val="FF4000"/>
          <w:sz w:val="24"/>
          <w:szCs w:val="24"/>
        </w:rPr>
      </w:r>
    </w:p>
    <w:p>
      <w:pPr>
        <w:pStyle w:val="Default"/>
        <w:spacing w:lineRule="auto" w:line="276"/>
        <w:jc w:val="both"/>
        <w:rPr>
          <w:rFonts w:ascii="Arial" w:hAnsi="Arial" w:cs="Arial"/>
          <w:strike/>
          <w:color w:val="FF4000"/>
          <w:sz w:val="24"/>
          <w:szCs w:val="24"/>
        </w:rPr>
      </w:pPr>
      <w:r>
        <w:rPr>
          <w:rFonts w:cs="Arial" w:ascii="Arial" w:hAnsi="Arial"/>
          <w:strike/>
          <w:color w:val="FF4000"/>
          <w:sz w:val="24"/>
          <w:szCs w:val="24"/>
        </w:rPr>
      </w:r>
    </w:p>
    <w:p>
      <w:pPr>
        <w:pStyle w:val="Default"/>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jc w:val="both"/>
        <w:rPr>
          <w:sz w:val="24"/>
          <w:szCs w:val="24"/>
        </w:rPr>
      </w:pPr>
      <w:r>
        <w:rPr>
          <w:rFonts w:cs="Arial" w:ascii="Arial" w:hAnsi="Arial"/>
          <w:color w:themeColor="text1" w:val="000000"/>
          <w:sz w:val="24"/>
          <w:szCs w:val="24"/>
        </w:rPr>
        <w:t>3. Wniosek wraz z budżetem stanowi integralną całość. Wnioski złożone bez budżetu zostaną odrzucone na etapie oceny formalnej.</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Złożone wnioski będą poddawane ocenie formalnej, którą przeprowadzą pracownicy biur Stowarzyszenia Kujawsko-Pomorski Ośrodek Wsparcia Inicjatyw Pozarządowych TŁOK oraz Towarzystwa Rozwoju Gminy Płużnica w oparciu o Kartę Oceny Formalnej, która stanowi załącznik do dokumentacji konkursowej. Pod uwagę brane będą następujące kryteria: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themeColor="text1" w:val="000000"/>
          <w:sz w:val="24"/>
          <w:szCs w:val="24"/>
        </w:rPr>
        <w:t xml:space="preserve">wniosek został złożony </w:t>
      </w:r>
      <w:r>
        <w:rPr>
          <w:rFonts w:cs="Arial" w:ascii="Arial" w:hAnsi="Arial"/>
          <w:b/>
          <w:color w:themeColor="text1" w:val="000000"/>
          <w:sz w:val="24"/>
          <w:szCs w:val="24"/>
        </w:rPr>
        <w:t>w formie papierowej</w:t>
      </w:r>
      <w:r>
        <w:rPr>
          <w:rFonts w:cs="Arial" w:ascii="Arial" w:hAnsi="Arial"/>
          <w:color w:themeColor="text1" w:val="000000"/>
          <w:sz w:val="24"/>
          <w:szCs w:val="24"/>
        </w:rPr>
        <w:t xml:space="preserve"> (2 egz. wraz z budżete</w:t>
      </w:r>
      <w:r>
        <w:rPr>
          <w:rFonts w:cs="Arial" w:ascii="Arial" w:hAnsi="Arial"/>
          <w:sz w:val="24"/>
          <w:szCs w:val="24"/>
        </w:rPr>
        <w:t>m</w:t>
      </w:r>
      <w:r>
        <w:rPr>
          <w:rFonts w:cs="Arial" w:ascii="Arial" w:hAnsi="Arial"/>
          <w:strike/>
          <w:sz w:val="24"/>
          <w:szCs w:val="24"/>
        </w:rPr>
        <w:t>)</w:t>
      </w:r>
      <w:r>
        <w:rPr>
          <w:rFonts w:cs="Arial" w:ascii="Arial" w:hAnsi="Arial"/>
          <w:strike/>
          <w:color w:val="FF0000"/>
          <w:sz w:val="24"/>
          <w:szCs w:val="24"/>
        </w:rPr>
        <w:t xml:space="preserve"> </w:t>
      </w:r>
      <w:r>
        <w:rPr>
          <w:rFonts w:cs="Arial" w:ascii="Arial" w:hAnsi="Arial"/>
          <w:color w:themeColor="text1" w:val="000000"/>
          <w:sz w:val="24"/>
          <w:szCs w:val="24"/>
          <w:u w:val="single"/>
        </w:rPr>
        <w:t>terminie</w:t>
      </w:r>
      <w:r>
        <w:rPr>
          <w:rFonts w:cs="Arial" w:ascii="Arial" w:hAnsi="Arial"/>
          <w:color w:themeColor="text1" w:val="000000"/>
          <w:sz w:val="24"/>
          <w:szCs w:val="24"/>
        </w:rPr>
        <w:t xml:space="preserve"> określonym w ogłoszeniu o naborze, przez MiŚLOP/grupę uprawnioną do udziału w konkursie (zgodnie z Regulaminem),</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themeColor="text1" w:val="000000"/>
          <w:sz w:val="24"/>
          <w:szCs w:val="24"/>
        </w:rPr>
        <w:t>średni roczny przychód z trzech ostatnich zamkniętych lat budżetowych MiŚLOP nie przekroczył 200.000 zł oraz  MIŚLOP i grupy prowadzą działalność na terenach wiejskich lub w miejscowościach liczących nie więcej niż 100 000 mieszkańców,</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oferent złożył wniosek zgodnie z limitem określonym w pkt IV ppkt.1 i 2: Jedna MIŚLOP może złożyć dwa wnioski: może wystąpić tylko z jednym wnioskiem w konkursie jako wnioskodawca MiŚLOP oraz może wystąpić z kolejnym wnioskiem jako Patron. Złożenie większej niż ww. opisana ilości wniosków skutkuje ich odrzuceniem.</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grupa nieformalna bez patrona może złożyć tylko jeden wniosek</w:t>
      </w:r>
      <w:r>
        <w:rPr>
          <w:rFonts w:cs="Arial" w:ascii="Arial" w:hAnsi="Arial"/>
          <w:color w:themeColor="text1" w:val="000000"/>
          <w:sz w:val="24"/>
          <w:szCs w:val="24"/>
        </w:rPr>
        <w:t xml:space="preserve">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hanging="284" w:left="426"/>
        <w:jc w:val="both"/>
        <w:rPr>
          <w:sz w:val="24"/>
          <w:szCs w:val="24"/>
        </w:rPr>
      </w:pPr>
      <w:r>
        <w:rPr>
          <w:rFonts w:cs="Arial" w:ascii="Arial" w:hAnsi="Arial"/>
          <w:color w:themeColor="text1" w:val="000000"/>
          <w:sz w:val="24"/>
          <w:szCs w:val="24"/>
        </w:rPr>
        <w:t xml:space="preserve">pracownicy instytucji publicznej/ych, a także pracownicy organizacji pozarządowej/ych stanowią nie więcej niż 50% członków grupy nieformalnej, a także członkowie grupy nie zasiadają w organach statutowych NGO;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themeColor="text1" w:val="000000"/>
          <w:sz w:val="24"/>
          <w:szCs w:val="24"/>
        </w:rPr>
        <w:t xml:space="preserve">oferent działa na terenie województwa kujawsko-pomorskiego;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 xml:space="preserve">harmonogram projektu jest przewidziany w okresie, nie wcześniej niż od 2026-09-15, do dnia 2026–10–30. W przypadku gdy Operatorzy będą posiadali środki na realizację projektów możliwe jest wydłużenie realizacji terminu projektów przez wnioskodawców.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budżet jest prawidłowo wypełniony – nie przekracza limitów;</w:t>
      </w:r>
    </w:p>
    <w:p>
      <w:pPr>
        <w:pStyle w:val="Default"/>
        <w:numPr>
          <w:ilvl w:val="1"/>
          <w:numId w:val="10"/>
        </w:numPr>
        <w:tabs>
          <w:tab w:val="clear" w:pos="720"/>
          <w:tab w:val="left" w:pos="142"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planowane przedsięwzięcie w przypadku Grup z patronem i bez patrona nie ma charakteru jednorazowego wydarzenia (projekt musi obejmować minimum 2 wydarzenia merytoryczne służące zwiększeniu odporności społeczności lokalnych na kryzysy - jako osobnego wydarzenia nie można traktować np. zakupów, rekrutacji uczestników bądź rozliczenia projektu);</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hanging="284" w:left="426"/>
        <w:jc w:val="both"/>
        <w:rPr>
          <w:sz w:val="24"/>
          <w:szCs w:val="24"/>
        </w:rPr>
      </w:pPr>
      <w:r>
        <w:rPr>
          <w:rFonts w:cs="Arial" w:ascii="Arial" w:hAnsi="Arial"/>
          <w:color w:val="auto"/>
          <w:sz w:val="24"/>
          <w:szCs w:val="24"/>
        </w:rPr>
        <w:t xml:space="preserve">maksymalna kwota wnioskowanej mikrodotacji uzależniona jest od typu realizowanego projektu: </w:t>
      </w:r>
    </w:p>
    <w:p>
      <w:pPr>
        <w:pStyle w:val="Default"/>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426"/>
        <w:jc w:val="both"/>
        <w:rPr>
          <w:sz w:val="24"/>
          <w:szCs w:val="24"/>
        </w:rPr>
      </w:pPr>
      <w:r>
        <w:rPr>
          <w:rFonts w:cs="Arial" w:ascii="Arial" w:hAnsi="Arial"/>
          <w:color w:val="auto"/>
          <w:sz w:val="24"/>
          <w:szCs w:val="24"/>
        </w:rPr>
        <w:t xml:space="preserve">1)  grupy z Patronem lub bez patrona kwota 5000 zł; </w:t>
      </w:r>
    </w:p>
    <w:p>
      <w:pPr>
        <w:pStyle w:val="Default"/>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ind w:left="426"/>
        <w:jc w:val="both"/>
        <w:rPr>
          <w:sz w:val="24"/>
          <w:szCs w:val="24"/>
        </w:rPr>
      </w:pPr>
      <w:r>
        <w:rPr>
          <w:rFonts w:cs="Arial" w:ascii="Arial" w:hAnsi="Arial"/>
          <w:color w:val="auto"/>
          <w:sz w:val="24"/>
          <w:szCs w:val="24"/>
        </w:rPr>
        <w:t xml:space="preserve">2)  MIŚLOP, które zaplanuje minimum 1 działanie zwiększające odporność na kryzysy i zakup sprzętu kwota 7500 zł lub minimum 2 działania zwiększające odporność na kryzysy bez  zakupu sprzętu kwota 7500 zł; </w:t>
      </w:r>
    </w:p>
    <w:p>
      <w:pPr>
        <w:pStyle w:val="Normal"/>
        <w:ind w:left="426"/>
        <w:jc w:val="both"/>
        <w:rPr>
          <w:sz w:val="24"/>
          <w:szCs w:val="24"/>
        </w:rPr>
      </w:pPr>
      <w:r>
        <w:rPr>
          <w:rFonts w:cs="Arial" w:ascii="Arial" w:hAnsi="Arial"/>
          <w:sz w:val="24"/>
          <w:szCs w:val="24"/>
        </w:rPr>
        <w:t>3) MIŚLOP, które zaplanują minimum 1 działanie zwiększające odporność na kryzysy w projekcie oraz dodatkowo 1 działanie sieciujące, angażujące minimum 3 partnerów (w tym minimum 2 podmioty spoza terenu gminy, w której jest siedziba wnioskodawcy),  przy czym przedstawiciele wszystkich partnerów muszą być zaangażowani merytorycznie w działanie sieciujące. MIŚLOP może wnioskować o kwotę 10 000 zł. W tym typie projektu możliwe jest również przeznaczenie maks. 50% mikrodotacji na rozwój instytucjonalny MIŚLOP.</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val="auto"/>
          <w:sz w:val="24"/>
          <w:szCs w:val="24"/>
        </w:rPr>
        <w:t>członkowie grupy nieformalnej/organizacja wywiązała się z obowiązku prawidłowego i terminowego rozliczenia mikrodotacji otrzymanej w poprzednim naborze FIO lub MMS (jeśli dotyczy)</w:t>
      </w:r>
      <w:r>
        <w:rPr>
          <w:rFonts w:cs="Arial" w:ascii="Arial" w:hAnsi="Arial"/>
          <w:color w:themeColor="text1" w:val="000000"/>
          <w:sz w:val="24"/>
          <w:szCs w:val="24"/>
        </w:rPr>
        <w:t xml:space="preserve"> </w:t>
      </w:r>
    </w:p>
    <w:p>
      <w:pPr>
        <w:pStyle w:val="Default"/>
        <w:numPr>
          <w:ilvl w:val="1"/>
          <w:numId w:val="10"/>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426"/>
        <w:jc w:val="both"/>
        <w:rPr>
          <w:sz w:val="24"/>
          <w:szCs w:val="24"/>
        </w:rPr>
      </w:pPr>
      <w:r>
        <w:rPr>
          <w:rFonts w:cs="Arial" w:ascii="Arial" w:hAnsi="Arial"/>
          <w:color w:themeColor="text1" w:val="000000"/>
          <w:sz w:val="24"/>
          <w:szCs w:val="24"/>
        </w:rPr>
        <w:t xml:space="preserve">oferent nie znajduje się na liście beneficjentów przewidzianych do dofinansowania w ramach Priorytetu 1 w programie Moc Małych Społeczności. </w:t>
      </w:r>
    </w:p>
    <w:p>
      <w:pPr>
        <w:pStyle w:val="Default"/>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jc w:val="both"/>
        <w:rPr>
          <w:rFonts w:ascii="Arial" w:hAnsi="Arial" w:cs="Arial"/>
          <w:color w:themeColor="text1" w:val="000000"/>
          <w:sz w:val="24"/>
          <w:szCs w:val="24"/>
        </w:rPr>
      </w:pPr>
      <w:r>
        <w:rPr>
          <w:rFonts w:cs="Arial" w:ascii="Arial" w:hAnsi="Arial"/>
          <w:color w:themeColor="text1" w:val="000000"/>
          <w:sz w:val="24"/>
          <w:szCs w:val="24"/>
        </w:rPr>
      </w:r>
    </w:p>
    <w:p>
      <w:pPr>
        <w:pStyle w:val="Default"/>
        <w:numPr>
          <w:ilvl w:val="0"/>
          <w:numId w:val="18"/>
        </w:numPr>
        <w:tabs>
          <w:tab w:val="clear" w:pos="720"/>
          <w:tab w:val="left" w:pos="284"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84" w:left="284"/>
        <w:jc w:val="both"/>
        <w:rPr>
          <w:sz w:val="24"/>
          <w:szCs w:val="24"/>
        </w:rPr>
      </w:pPr>
      <w:r>
        <w:rPr>
          <w:rFonts w:cs="Arial" w:ascii="Arial" w:hAnsi="Arial"/>
          <w:color w:val="auto"/>
          <w:sz w:val="24"/>
          <w:szCs w:val="24"/>
        </w:rPr>
        <w:t>Na etapie oceny formalnej możliwe jest uzupełnienie brakujących podpisów we wniosku i pod budżetem oraz dosłanie brakujących załączników - aktualnego odpisu KRS lub innego rejestru, nie starszego niż 3 miesiące przed złożeniem wniosku, poświadczającego, kto jest w organizacji upoważniony do składania oświadczeń woli. W przypadku stowarzyszeń zwykłych lub kół gospodyń wiejskich potwierdzenie wpisu do właściwego rejestru (kopia potwierdzona za zgodność z oryginałem).</w:t>
      </w:r>
    </w:p>
    <w:p>
      <w:pPr>
        <w:pStyle w:val="Default"/>
        <w:numPr>
          <w:ilvl w:val="2"/>
          <w:numId w:val="3"/>
        </w:numPr>
        <w:tabs>
          <w:tab w:val="clear" w:pos="720"/>
          <w:tab w:val="left" w:pos="708" w:leader="none"/>
          <w:tab w:val="left" w:pos="1134"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2056" w:left="2340"/>
        <w:jc w:val="both"/>
        <w:rPr>
          <w:sz w:val="24"/>
          <w:szCs w:val="24"/>
        </w:rPr>
      </w:pPr>
      <w:r>
        <w:rPr>
          <w:rFonts w:cs="Arial" w:ascii="Arial" w:hAnsi="Arial"/>
          <w:color w:themeColor="text1" w:val="000000"/>
          <w:sz w:val="24"/>
          <w:szCs w:val="24"/>
        </w:rPr>
        <w:t>Uzupełnień należy dokonać w ciągu 5 dni roboczych od wezwania Operatora.</w:t>
      </w:r>
    </w:p>
    <w:p>
      <w:pPr>
        <w:pStyle w:val="Default"/>
        <w:numPr>
          <w:ilvl w:val="2"/>
          <w:numId w:val="3"/>
        </w:numPr>
        <w:tabs>
          <w:tab w:val="clear" w:pos="720"/>
          <w:tab w:val="left" w:pos="567" w:leader="none"/>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80" w:after="280"/>
        <w:ind w:hanging="567" w:left="567"/>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Niespełnienie warunków ubiegania się o mikrodotację, określonych w niniejszym Regulaminie oraz inne błędy, w szczególności: nieuzupełnienie wszystkich pól we wniosku, budżecie, niepodanie wymaganych informacji, aplikowanie przez podmiot nieuprawniony do udziału w konkursie,  przekroczenie limitów budżetowych wnioskowanej kwoty mikrodotacji będą skutkowały odrzuceniem wniosku podczas oceny formalnej bez możliwości odwołania.</w:t>
      </w:r>
    </w:p>
    <w:p>
      <w:pPr>
        <w:pStyle w:val="Default"/>
        <w:numPr>
          <w:ilvl w:val="2"/>
          <w:numId w:val="3"/>
        </w:numPr>
        <w:tabs>
          <w:tab w:val="clear" w:pos="720"/>
          <w:tab w:val="left" w:pos="567" w:leader="none"/>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80" w:after="280"/>
        <w:ind w:hanging="567" w:left="567"/>
        <w:jc w:val="both"/>
        <w:rPr>
          <w:sz w:val="24"/>
          <w:szCs w:val="24"/>
        </w:rPr>
      </w:pPr>
      <w:r>
        <w:rPr>
          <w:rFonts w:cs="Arial" w:ascii="Arial" w:hAnsi="Arial"/>
          <w:color w:themeColor="text1" w:val="000000"/>
          <w:sz w:val="24"/>
          <w:szCs w:val="24"/>
        </w:rPr>
        <w:t xml:space="preserve">Operator w uzasadnionych przypadkach może wezwać wnioskodawcę do przedstawienia statutu organizacji w celu potwierdzenia możliwości realizacji projektu w konkursie </w:t>
      </w:r>
      <w:r>
        <w:rPr>
          <w:rFonts w:cs="Arial" w:ascii="Arial" w:hAnsi="Arial"/>
          <w:color w:val="111111"/>
          <w:sz w:val="24"/>
          <w:szCs w:val="24"/>
        </w:rPr>
        <w:t xml:space="preserve"> </w:t>
      </w:r>
      <w:r>
        <w:rPr>
          <w:rFonts w:cs="Arial" w:ascii="Arial" w:hAnsi="Arial"/>
          <w:b/>
          <w:color w:val="111111"/>
          <w:sz w:val="24"/>
          <w:szCs w:val="24"/>
        </w:rPr>
        <w:t xml:space="preserve">„Moc Małych Społeczności - Kujawsko-Pomorskie” w ramach </w:t>
      </w:r>
      <w:r>
        <w:rPr>
          <w:rFonts w:cs="Arial" w:ascii="Arial" w:hAnsi="Arial"/>
          <w:color w:val="111111"/>
          <w:sz w:val="24"/>
          <w:szCs w:val="24"/>
        </w:rPr>
        <w:t>projektu</w:t>
      </w:r>
      <w:r>
        <w:rPr>
          <w:rFonts w:cs="Arial" w:ascii="Arial" w:hAnsi="Arial"/>
          <w:color w:themeColor="text1" w:val="000000"/>
          <w:sz w:val="24"/>
          <w:szCs w:val="24"/>
        </w:rPr>
        <w:t xml:space="preserve">  "Inicjuj w małych społecznościach 2.0".</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0"/>
        <w:jc w:val="both"/>
        <w:rPr>
          <w:sz w:val="24"/>
          <w:szCs w:val="24"/>
        </w:rPr>
      </w:pPr>
      <w:r>
        <w:rPr>
          <w:rFonts w:cs="Arial" w:ascii="Arial" w:hAnsi="Arial"/>
          <w:b/>
          <w:color w:themeColor="text1" w:val="000000"/>
          <w:sz w:val="24"/>
          <w:szCs w:val="24"/>
        </w:rPr>
        <w:t>KRYTERIA MERYTORYCZNE</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0"/>
        <w:jc w:val="both"/>
        <w:rPr>
          <w:sz w:val="24"/>
          <w:szCs w:val="24"/>
        </w:rPr>
      </w:pPr>
      <w:r>
        <w:rPr>
          <w:rFonts w:cs="Arial" w:ascii="Arial" w:hAnsi="Arial"/>
          <w:color w:themeColor="text1" w:val="000000"/>
          <w:sz w:val="24"/>
          <w:szCs w:val="24"/>
        </w:rPr>
        <w:t xml:space="preserve">1. Wnioski, które spełnią wymagania formalne, zostaną przekazane do oceny merytorycznej członkom Komisji Oceny Wniosków, powołanym przez Operatorów. Każdy wniosek złożony w formie papierowej oceniany będzie przez 2 osoby, a w przypadku rozbieżności powyżej 30% liczone od maksymalnej liczby punktów możliwej do osiągnięcia bez punktów strategicznych, wprowadzona będzie ocena trzeciego eksperta, która będzie decydująca.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240" w:after="240"/>
        <w:jc w:val="both"/>
        <w:rPr>
          <w:sz w:val="24"/>
          <w:szCs w:val="24"/>
        </w:rPr>
      </w:pPr>
      <w:r>
        <w:rPr>
          <w:rFonts w:cs="Arial" w:ascii="Arial" w:hAnsi="Arial"/>
          <w:color w:themeColor="text1" w:val="000000"/>
          <w:sz w:val="24"/>
          <w:szCs w:val="24"/>
        </w:rPr>
        <w:t>2. Ocena merytoryczna dokonana będzie w oparciu o Kartę Oceny Merytorycznej, która stanowi załącznik do dokumentacji konkursowej, a członkowie Komisji Oceny Wniosków będą podpisywali deklarację bezstronności.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3. Przy ocenie merytorycznej w szczególności brane będą pod uwagę następujące kryteria: </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425" w:left="567"/>
        <w:jc w:val="both"/>
        <w:rPr>
          <w:sz w:val="24"/>
          <w:szCs w:val="24"/>
        </w:rPr>
      </w:pPr>
      <w:r>
        <w:rPr>
          <w:rFonts w:cs="Arial" w:ascii="Arial" w:hAnsi="Arial"/>
          <w:color w:themeColor="text1" w:val="000000"/>
          <w:sz w:val="24"/>
          <w:szCs w:val="24"/>
        </w:rPr>
        <w:t>przydatność z punktu widzenia potrzeb społeczności lokalnej w zakresie rozwoju aktywności i integracji społecznej oraz zwiększenia odporności społeczności lokalnych na kryzysy,</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425" w:left="567"/>
        <w:jc w:val="both"/>
        <w:rPr>
          <w:sz w:val="24"/>
          <w:szCs w:val="24"/>
        </w:rPr>
      </w:pPr>
      <w:r>
        <w:rPr>
          <w:rFonts w:cs="Arial" w:ascii="Arial" w:hAnsi="Arial"/>
          <w:color w:themeColor="text1" w:val="000000"/>
          <w:sz w:val="24"/>
          <w:szCs w:val="24"/>
        </w:rPr>
        <w:t xml:space="preserve">realność wykonania; </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425" w:left="567"/>
        <w:jc w:val="both"/>
        <w:rPr>
          <w:sz w:val="24"/>
          <w:szCs w:val="24"/>
        </w:rPr>
      </w:pPr>
      <w:r>
        <w:rPr>
          <w:rFonts w:cs="Arial" w:ascii="Arial" w:hAnsi="Arial"/>
          <w:color w:themeColor="text1" w:val="000000"/>
          <w:sz w:val="24"/>
          <w:szCs w:val="24"/>
        </w:rPr>
        <w:t xml:space="preserve">przejrzystość budżetu; </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425" w:left="567"/>
        <w:jc w:val="both"/>
        <w:rPr>
          <w:sz w:val="24"/>
          <w:szCs w:val="24"/>
        </w:rPr>
      </w:pPr>
      <w:r>
        <w:rPr>
          <w:rFonts w:cs="Arial" w:ascii="Arial" w:hAnsi="Arial"/>
          <w:color w:themeColor="text1" w:val="000000"/>
          <w:sz w:val="24"/>
          <w:szCs w:val="24"/>
        </w:rPr>
        <w:t>adekwatność stosowanych stawek jednostkowych;</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18"/>
        <w:ind w:hanging="425" w:left="567"/>
        <w:jc w:val="both"/>
        <w:rPr>
          <w:sz w:val="24"/>
          <w:szCs w:val="24"/>
        </w:rPr>
      </w:pPr>
      <w:r>
        <w:rPr>
          <w:rFonts w:cs="Arial" w:ascii="Arial" w:hAnsi="Arial"/>
          <w:color w:themeColor="text1" w:val="000000"/>
          <w:sz w:val="24"/>
          <w:szCs w:val="24"/>
        </w:rPr>
        <w:t>innowacyjność i oryginalność zaplanowanych działań, w zakresie rozwoju aktywności i integracji społecznej oraz zwiększenia odporności społeczności lokalnych na kryzysy,</w:t>
      </w:r>
    </w:p>
    <w:p>
      <w:pPr>
        <w:pStyle w:val="Default"/>
        <w:numPr>
          <w:ilvl w:val="1"/>
          <w:numId w:val="9"/>
        </w:numPr>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ind w:hanging="425" w:left="567"/>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przewidywane efekty projektu w zakresie wzmocnienia społeczności lokalnej w kontekście zwiększenia jej odporności na kryzysy</w:t>
      </w:r>
    </w:p>
    <w:p>
      <w:pPr>
        <w:pStyle w:val="Default"/>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240"/>
        <w:ind w:left="142"/>
        <w:jc w:val="both"/>
        <w:rPr>
          <w:sz w:val="24"/>
          <w:szCs w:val="24"/>
        </w:rPr>
      </w:pPr>
      <w:r>
        <w:rPr>
          <w:rFonts w:cs="Arial" w:ascii="Arial" w:hAnsi="Arial"/>
          <w:color w:themeColor="text1" w:val="000000"/>
          <w:sz w:val="24"/>
          <w:szCs w:val="24"/>
        </w:rPr>
        <w:t>4.</w:t>
        <w:tab/>
        <w:t>Dodatkowo punktowane będą wnioski</w:t>
      </w:r>
      <w:r>
        <w:rPr>
          <w:rFonts w:cs="Arial" w:ascii="Arial" w:hAnsi="Arial"/>
          <w:strike/>
          <w:color w:themeColor="text1" w:val="000000"/>
          <w:sz w:val="24"/>
          <w:szCs w:val="24"/>
        </w:rPr>
        <w:t>:</w:t>
      </w:r>
    </w:p>
    <w:p>
      <w:pPr>
        <w:pStyle w:val="Normal"/>
        <w:ind w:left="142"/>
        <w:jc w:val="both"/>
        <w:rPr>
          <w:sz w:val="24"/>
          <w:szCs w:val="24"/>
        </w:rPr>
      </w:pPr>
      <w:r>
        <w:rPr>
          <w:rFonts w:cs="Arial" w:ascii="Arial" w:hAnsi="Arial"/>
          <w:color w:themeColor="text1" w:val="000000"/>
          <w:sz w:val="24"/>
          <w:szCs w:val="24"/>
        </w:rPr>
        <w:t>a)</w:t>
        <w:tab/>
        <w:t xml:space="preserve">w których wnioskodawcy przewidują angażowanie wolontariuszy nie </w:t>
      </w:r>
      <w:r>
        <w:rPr>
          <w:rFonts w:cs="Arial" w:ascii="Arial" w:hAnsi="Arial"/>
          <w:sz w:val="24"/>
          <w:szCs w:val="24"/>
        </w:rPr>
        <w:t>będących członkami organizacji (należy wycenić pracę wolontariacką i opisać zadania wolontariuszy);</w:t>
      </w:r>
    </w:p>
    <w:p>
      <w:pPr>
        <w:pStyle w:val="Default"/>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240"/>
        <w:ind w:left="142"/>
        <w:jc w:val="both"/>
        <w:rPr>
          <w:sz w:val="24"/>
          <w:szCs w:val="24"/>
        </w:rPr>
      </w:pPr>
      <w:r>
        <w:rPr>
          <w:rFonts w:cs="Arial" w:ascii="Arial" w:hAnsi="Arial"/>
          <w:sz w:val="24"/>
          <w:szCs w:val="24"/>
        </w:rPr>
        <w:t>b)</w:t>
        <w:tab/>
        <w:t>z powiatów o najniższym poziomie aktywności społecznej: rypiński, radziejowski, grudziądzki, wąbrzeski, chełmiński, aleksandrowski.</w:t>
      </w:r>
    </w:p>
    <w:p>
      <w:pPr>
        <w:pStyle w:val="Default"/>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240"/>
        <w:ind w:left="142"/>
        <w:jc w:val="both"/>
        <w:rPr>
          <w:sz w:val="24"/>
          <w:szCs w:val="24"/>
        </w:rPr>
      </w:pPr>
      <w:r>
        <w:rPr>
          <w:rFonts w:cs="Arial" w:ascii="Arial" w:hAnsi="Arial"/>
          <w:sz w:val="24"/>
          <w:szCs w:val="24"/>
        </w:rPr>
        <w:t>c) grupa/młoda organizacja pozarządowa wskazała min. 3 partnerów społecznych. Za partnera z administracji przysługują dodatkowe punkty. Partner nie może być podwykonawcą i nie może świadczyć odpłatnych usług na rzecz projektu.</w:t>
      </w:r>
    </w:p>
    <w:p>
      <w:pPr>
        <w:pStyle w:val="Default"/>
        <w:tabs>
          <w:tab w:val="clear" w:pos="720"/>
          <w:tab w:val="left" w:pos="70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240"/>
        <w:ind w:left="142"/>
        <w:jc w:val="both"/>
        <w:rPr>
          <w:sz w:val="24"/>
          <w:szCs w:val="24"/>
        </w:rPr>
      </w:pPr>
      <w:r>
        <w:rPr>
          <w:rFonts w:cs="Arial" w:ascii="Arial" w:hAnsi="Arial"/>
          <w:color w:themeColor="text1" w:val="000000"/>
          <w:sz w:val="24"/>
          <w:szCs w:val="24"/>
        </w:rPr>
        <w:t>d)</w:t>
        <w:tab/>
        <w:t>których wnioskodawcy wezmą udział w doradztwie lub szkoleniu. Punkty liczone są raz dla jednej formy wsparcia. O zakwalifikowaniu do udziału w szkoleniu decyduje kolejność zgłoszeń oraz fakt, czy dana osoba nie korzystała w okresie ostatniego roku ze szkoleń o podobnej tematyce u Operatora. Pierwszeństwo mają osoby niekorzystające z ww. szkoleń.</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5. Ostateczną decyzję o przyznaniu dofinansowania podejmują Zarządy Operatorów zgodnie ze sposobem reprezentacji określonych w statutach na podstawie ocen przyznanych przez członków Komisji Oceny Wniosków oraz dostępności środków.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6. Dofinansowanie może zostać przyznane w pełnej lub niepełnej kwocie wnioskowanej przez organizację/grupę nieformalną.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7. Przyznane dotacje zostaną przekazane na konto bankowe organizacji po podpisaniu umowy, w której określone będą zasady współpracy oraz warunki rozliczenia otrzymanej dotacji. W przypadku, gdy projekt realizowany będzie przez grupę nieformalną, której osobowości prawnej użycza Patron, Patron ma obowiązek podpisania </w:t>
      </w:r>
      <w:r>
        <w:rPr>
          <w:rFonts w:cs="Arial" w:ascii="Arial" w:hAnsi="Arial"/>
          <w:b/>
          <w:color w:themeColor="text1" w:val="000000"/>
          <w:sz w:val="24"/>
          <w:szCs w:val="24"/>
        </w:rPr>
        <w:t xml:space="preserve">umowy o współpracy </w:t>
      </w:r>
      <w:r>
        <w:rPr>
          <w:rFonts w:cs="Arial" w:ascii="Arial" w:hAnsi="Arial"/>
          <w:color w:themeColor="text1" w:val="000000"/>
          <w:sz w:val="24"/>
          <w:szCs w:val="24"/>
        </w:rPr>
        <w:t>z grupą. Umowa taka powinna obejmować m.in. zasady współpracy i regulować kwestie własności ew. majątku grupy, powstałego wskutek realizacji projektu.</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8. W przypadku grup nieformalnych nieposiadających osobowości prawnej, które nie znalazły Patrona, rozliczeniem mikrodotacji zajmuje się Operator.</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9. Od decyzji dotyczącej oceny merytorycznej nie przysługuje odwołanie. Decyzje Zarządów Operatorów są ostateczne.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3"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8"/>
                    <pic:cNvPicPr>
                      <a:picLocks noChangeAspect="1" noChangeArrowheads="1"/>
                    </pic:cNvPicPr>
                  </pic:nvPicPr>
                  <pic:blipFill>
                    <a:blip r:embed="rId18"/>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VII UMOWA O PRZYZNANIE MIKRODOTACJI</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4"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9"/>
                    <pic:cNvPicPr>
                      <a:picLocks noChangeAspect="1" noChangeArrowheads="1"/>
                    </pic:cNvPicPr>
                  </pic:nvPicPr>
                  <pic:blipFill>
                    <a:blip r:embed="rId19"/>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Default"/>
        <w:numPr>
          <w:ilvl w:val="0"/>
          <w:numId w:val="1"/>
        </w:numPr>
        <w:tabs>
          <w:tab w:val="clear" w:pos="720"/>
          <w:tab w:val="left" w:pos="284" w:leader="none"/>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Z Wnioskodawcami, którzy uzyskają </w:t>
      </w:r>
      <w:r>
        <w:rPr>
          <w:rFonts w:cs="Arial" w:ascii="Arial" w:hAnsi="Arial"/>
          <w:b/>
          <w:color w:themeColor="text1" w:val="000000"/>
          <w:sz w:val="24"/>
          <w:szCs w:val="24"/>
        </w:rPr>
        <w:t>min. 60% punktów</w:t>
      </w:r>
      <w:r>
        <w:rPr>
          <w:rFonts w:cs="Arial" w:ascii="Arial" w:hAnsi="Arial"/>
          <w:color w:themeColor="text1" w:val="000000"/>
          <w:sz w:val="24"/>
          <w:szCs w:val="24"/>
        </w:rPr>
        <w:t xml:space="preserve"> w ramach oceny wniosków, zostaną zawarte umowy.</w:t>
      </w:r>
    </w:p>
    <w:p>
      <w:pPr>
        <w:pStyle w:val="Default"/>
        <w:numPr>
          <w:ilvl w:val="0"/>
          <w:numId w:val="1"/>
        </w:numPr>
        <w:tabs>
          <w:tab w:val="clear" w:pos="720"/>
          <w:tab w:val="left" w:pos="284" w:leader="none"/>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Szczegółowy sposób przekazywania i rozliczania mikrodotacji będzie regulowała Umowa o przyznanie mikrodotacji.</w:t>
      </w:r>
    </w:p>
    <w:p>
      <w:pPr>
        <w:pStyle w:val="Default"/>
        <w:numPr>
          <w:ilvl w:val="0"/>
          <w:numId w:val="1"/>
        </w:numPr>
        <w:tabs>
          <w:tab w:val="clear" w:pos="720"/>
          <w:tab w:val="left" w:pos="284"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W przypadku wsparcia realizacji lokalnego przedsięwzięcia podejmowanego przez grupę nieformalną za pośrednictwem Patrona, umowa zawierana jest między Operatorem a Patronem oraz liderem grupy nieformalnej. Z umowy wynika, że wspierane są działania grupy nieformalnej. </w:t>
      </w:r>
    </w:p>
    <w:p>
      <w:pPr>
        <w:pStyle w:val="Default"/>
        <w:numPr>
          <w:ilvl w:val="0"/>
          <w:numId w:val="1"/>
        </w:numPr>
        <w:tabs>
          <w:tab w:val="clear" w:pos="720"/>
          <w:tab w:val="left" w:pos="284"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sz w:val="24"/>
          <w:szCs w:val="24"/>
        </w:rPr>
        <w:t xml:space="preserve">W terminie 7 dni kalendarzowych od zakończenia realizacji projektu, będącego przedmiotem mikrodotacji, organizacja/grupa składa szczegółowe sprawozdanie końcowe w wersji papierowej wraz z załącznikami do siedziby Operatora. 7 dni należy rozumieć jako </w:t>
      </w:r>
      <w:r>
        <w:rPr>
          <w:rFonts w:cs="Arial" w:ascii="Arial" w:hAnsi="Arial"/>
          <w:color w:val="auto"/>
          <w:sz w:val="24"/>
          <w:szCs w:val="24"/>
        </w:rPr>
        <w:t>termin wpływu dokumentów do biura Operatora. Formularz sprawozdania zostanie udostępniony realizatorom wybranym do dofinansowania projektów.</w:t>
      </w:r>
    </w:p>
    <w:p>
      <w:pPr>
        <w:pStyle w:val="Default"/>
        <w:numPr>
          <w:ilvl w:val="0"/>
          <w:numId w:val="1"/>
        </w:numPr>
        <w:tabs>
          <w:tab w:val="clear" w:pos="720"/>
          <w:tab w:val="left" w:pos="284" w:leader="none"/>
          <w:tab w:val="left" w:pos="851"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MIŚLOP /grupa, która otrzymała wsparcie w postaci mikrodotacji, jest zobowiązana poddać się monitoringowi i kontroli dokonywanej przez Operatora lub/i Instytucję Zarządzającą.</w:t>
      </w:r>
    </w:p>
    <w:p>
      <w:pPr>
        <w:pStyle w:val="Default"/>
        <w:numPr>
          <w:ilvl w:val="0"/>
          <w:numId w:val="1"/>
        </w:numPr>
        <w:tabs>
          <w:tab w:val="clear" w:pos="720"/>
          <w:tab w:val="left" w:pos="284" w:leader="none"/>
          <w:tab w:val="left" w:pos="851"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rPr>
        <w:t xml:space="preserve">MIŚLOP oraz Patroni, którzy zdecydują się zaangażować wolontariuszy w realizację projektu, zobowiązani są podpisać z nimi umowy wolontariackie i ewidencjonować.  MIŚLOP /Patroni są administratorami danych osobowych pozyskanych podczas zawierania ww. umów. MIŚLOP /Patroni przechowują dokumentację związaną z wolontariatem w swojej siedzibie i udostępniają ją Operatorowi podczas wizyty monitorującej/kontrolnej, celem potwierdzenia zaangażowania społecznego wolontariuszy/członków ngo. W przypadku grup bez Patrona umowy wolontariackie zawierane są między wolontariuszem a Operatorem. </w:t>
      </w:r>
    </w:p>
    <w:p>
      <w:pPr>
        <w:pStyle w:val="Default"/>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sz w:val="24"/>
          <w:szCs w:val="24"/>
        </w:rPr>
      </w:pPr>
      <w:r>
        <w:rPr>
          <w:rFonts w:cs="Arial" w:ascii="Arial" w:hAnsi="Arial"/>
          <w:color w:themeColor="text1" w:val="000000"/>
          <w:sz w:val="24"/>
          <w:szCs w:val="24"/>
          <w:lang w:eastAsia="en-US"/>
        </w:rPr>
        <w:t xml:space="preserve">Praca społeczna członków organizacji dokumentowana jest w formie oświadczeń zawierających w szczególności: imię i nazwisko członka, nazwę organizacji na rzecz której wykonuje on pracę społeczną, okres wykonywania pracy społecznej, przedmiot i miejsce wykonywania pracy społecznej, wycenę pracy oraz podpis.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before="0" w:after="240"/>
        <w:jc w:val="both"/>
        <w:rPr>
          <w:rFonts w:ascii="Arial" w:hAnsi="Arial" w:cs="Arial"/>
          <w:sz w:val="24"/>
          <w:szCs w:val="24"/>
        </w:rPr>
      </w:pPr>
      <w:r>
        <w:rPr>
          <w:rFonts w:cs="Arial" w:ascii="Arial" w:hAnsi="Arial"/>
          <w:sz w:val="24"/>
          <w:szCs w:val="24"/>
        </w:rPr>
      </w:r>
    </w:p>
    <w:p>
      <w:pPr>
        <w:pStyle w:val="Normal"/>
        <w:jc w:val="both"/>
        <w:rPr>
          <w:sz w:val="24"/>
          <w:szCs w:val="24"/>
        </w:rPr>
      </w:pPr>
      <w:r>
        <w:rPr>
          <w:rFonts w:cs="Arial" w:ascii="Arial" w:hAnsi="Arial"/>
          <w:sz w:val="24"/>
          <w:szCs w:val="24"/>
        </w:rPr>
        <w:t>8. Operator zobowiązuje Wnioskodawcę do:</w:t>
      </w:r>
    </w:p>
    <w:p>
      <w:pPr>
        <w:pStyle w:val="Normal"/>
        <w:jc w:val="both"/>
        <w:rPr>
          <w:sz w:val="24"/>
          <w:szCs w:val="24"/>
        </w:rPr>
      </w:pPr>
      <w:r>
        <w:rPr>
          <w:rFonts w:cs="Arial" w:ascii="Arial" w:hAnsi="Arial"/>
          <w:color w:val="auto"/>
          <w:sz w:val="24"/>
          <w:szCs w:val="24"/>
        </w:rPr>
        <w:t>a)  udokumentowania minimalnej liczby uczestników każdego projektu w liczbie 19 osób</w:t>
      </w:r>
      <w:r>
        <w:rPr>
          <w:rFonts w:cs="Arial" w:ascii="Arial" w:hAnsi="Arial"/>
          <w:sz w:val="24"/>
          <w:szCs w:val="24"/>
        </w:rPr>
        <w:t>. Jedna osoba może wziąć udział w kilku działaniach w projekcie, natomiast jest liczona tylko 1 raz jako osoba, co potwierdzą listy obecności.</w:t>
      </w:r>
    </w:p>
    <w:p>
      <w:pPr>
        <w:pStyle w:val="Normal"/>
        <w:jc w:val="both"/>
        <w:rPr>
          <w:sz w:val="24"/>
          <w:szCs w:val="24"/>
        </w:rPr>
      </w:pPr>
      <w:r>
        <w:rPr>
          <w:rFonts w:cs="Arial" w:ascii="Arial" w:hAnsi="Arial"/>
          <w:sz w:val="24"/>
          <w:szCs w:val="24"/>
        </w:rPr>
        <w:t>b) potwierdzenia, udziału 100 osób beneficjentów pośrednich. (Beneficjenci pośredni</w:t>
      </w:r>
      <w:r>
        <w:rPr>
          <w:rFonts w:cs="Arial" w:ascii="Arial" w:hAnsi="Arial"/>
          <w:iCs/>
          <w:sz w:val="24"/>
          <w:szCs w:val="24"/>
        </w:rPr>
        <w:t xml:space="preserve"> to osoby, które nie uczestniczą bezpośrednio w działaniach projektu, lecz korzystają z jego rezultatów lub do których docierają informacje o projekcie, np. za pośrednictwem mediów społecznościowych, stron internetowych czy lokalnych mediów</w:t>
      </w:r>
      <w:r>
        <w:rPr>
          <w:rFonts w:cs="Arial" w:ascii="Arial" w:hAnsi="Arial"/>
          <w:sz w:val="24"/>
          <w:szCs w:val="24"/>
        </w:rPr>
        <w:t xml:space="preserve"> co potwierdzą statystyki, screeny, wydruki, itp.</w:t>
      </w:r>
    </w:p>
    <w:p>
      <w:pPr>
        <w:pStyle w:val="Normal"/>
        <w:rPr>
          <w:sz w:val="24"/>
          <w:szCs w:val="24"/>
        </w:rPr>
      </w:pPr>
      <w:r>
        <w:rPr>
          <w:rFonts w:cs="Arial" w:ascii="Arial" w:hAnsi="Arial"/>
          <w:sz w:val="24"/>
          <w:szCs w:val="24"/>
        </w:rPr>
        <w:t>c) odbycia i ukończenie kursu na platformie e-lerningowej nt. Budowania odporności społeczne na kryzysy, przez 2 osoby z MIŚLOP (członkowie). Dostęp do platformy edukacyjnej udostępni nieodpłatnie w ramach projektu Operator. Czas trwania kursu: 9 modułów od 3 do 35 minut.</w:t>
      </w:r>
    </w:p>
    <w:p>
      <w:pPr>
        <w:pStyle w:val="Normal"/>
        <w:jc w:val="both"/>
        <w:rPr>
          <w:sz w:val="24"/>
          <w:szCs w:val="24"/>
        </w:rPr>
      </w:pPr>
      <w:r>
        <w:rPr>
          <w:rFonts w:cs="Arial" w:ascii="Arial" w:hAnsi="Arial"/>
          <w:sz w:val="24"/>
          <w:szCs w:val="24"/>
        </w:rPr>
        <w:t>d) Operator zobowiązuje realizatorów projektów do sporządzania list obecności i/lub innych dokumentów, w tym dokumentacji fotograficznej, z wydarzeń merytorycznych. Dokumenty i informacje pozyskiwane są w celu kontroli prawidłowości wydatkowania środków pochodzących z mikrodotacji oraz ewaluacji projektu i ewentualnego dochodzenia roszczeń wobec Realizatora. Dane osobowe mogą zostać udostępnione w celu przeprowadzenia monitoringu, kontroli, ewaluacji projektu „Inicjuj w małych społecznościach 2.0” Instytucji Zarządzającej – Narodowemu Instytutowi Wolności – Centrum Rozwoju Społeczeństwa Obywatelskiego,</w:t>
      </w:r>
    </w:p>
    <w:p>
      <w:pPr>
        <w:pStyle w:val="Normal"/>
        <w:jc w:val="both"/>
        <w:rPr>
          <w:sz w:val="24"/>
          <w:szCs w:val="24"/>
        </w:rPr>
      </w:pPr>
      <w:r>
        <w:rPr>
          <w:rFonts w:cs="Arial" w:ascii="Arial" w:hAnsi="Arial"/>
          <w:sz w:val="24"/>
          <w:szCs w:val="24"/>
        </w:rPr>
        <w:t>e) załączenia do sprawozdania certyfikatów dla m.in. 2 osób z MIŚLOP (członkowie) potwierdzających odbycie i ukończenie kursu n</w:t>
      </w:r>
      <w:r>
        <w:rPr>
          <w:rFonts w:cs="Arial" w:ascii="Arial" w:hAnsi="Arial"/>
          <w:color w:val="auto"/>
          <w:sz w:val="24"/>
          <w:szCs w:val="24"/>
        </w:rPr>
        <w:t>a platformie e-lerningowej nt. Budowania odporności społeczne na kryzysy. Dostęp do platformy edukacyjnej udostępni Operator. Czas trwania kursu: 9 modułów od 3 do 35 minut.</w:t>
      </w:r>
    </w:p>
    <w:p>
      <w:pPr>
        <w:pStyle w:val="Default"/>
        <w:tabs>
          <w:tab w:val="clear" w:pos="720"/>
          <w:tab w:val="left" w:pos="284"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rFonts w:ascii="Arial" w:hAnsi="Arial" w:cs="Arial"/>
          <w:color w:val="auto"/>
          <w:sz w:val="24"/>
          <w:szCs w:val="24"/>
        </w:rPr>
      </w:pPr>
      <w:r>
        <w:rPr>
          <w:rFonts w:cs="Arial" w:ascii="Arial" w:hAnsi="Arial"/>
          <w:color w:val="auto"/>
          <w:sz w:val="24"/>
          <w:szCs w:val="24"/>
        </w:rPr>
      </w:r>
    </w:p>
    <w:p>
      <w:pPr>
        <w:pStyle w:val="Default"/>
        <w:tabs>
          <w:tab w:val="clear" w:pos="720"/>
          <w:tab w:val="left" w:pos="426"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jc w:val="both"/>
        <w:rPr>
          <w:sz w:val="24"/>
          <w:szCs w:val="24"/>
        </w:rPr>
      </w:pPr>
      <w:r>
        <w:rPr>
          <w:rFonts w:cs="Arial" w:ascii="Arial" w:hAnsi="Arial"/>
          <w:color w:themeColor="text1" w:val="000000"/>
          <w:sz w:val="24"/>
          <w:szCs w:val="24"/>
        </w:rPr>
        <w:t>9. MIŚLOP /grupa jest zobowiązana działać z zgodnie z przepisami obowiązującego prawa.</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0"/>
                    <pic:cNvPicPr>
                      <a:picLocks noChangeAspect="1" noChangeArrowheads="1"/>
                    </pic:cNvPicPr>
                  </pic:nvPicPr>
                  <pic:blipFill>
                    <a:blip r:embed="rId20"/>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rFonts w:cs="Arial" w:ascii="Arial" w:hAnsi="Arial"/>
          <w:b/>
          <w:color w:themeColor="text1" w:val="000000"/>
          <w:sz w:val="24"/>
          <w:szCs w:val="24"/>
        </w:rPr>
        <w:t>VIII SKŁADANIE WNIOSKÓW</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1"/>
                    <pic:cNvPicPr>
                      <a:picLocks noChangeAspect="1" noChangeArrowheads="1"/>
                    </pic:cNvPicPr>
                  </pic:nvPicPr>
                  <pic:blipFill>
                    <a:blip r:embed="rId21"/>
                    <a:stretch>
                      <a:fillRect/>
                    </a:stretch>
                  </pic:blipFill>
                  <pic:spPr bwMode="auto">
                    <a:xfrm>
                      <a:off x="0" y="0"/>
                      <a:ext cx="5715000" cy="88900"/>
                    </a:xfrm>
                    <a:prstGeom prst="rect">
                      <a:avLst/>
                    </a:prstGeom>
                    <a:noFill/>
                  </pic:spPr>
                </pic:pic>
              </a:graphicData>
            </a:graphic>
          </wp:inline>
        </w:drawing>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ListParagraph"/>
        <w:numPr>
          <w:ilvl w:val="3"/>
          <w:numId w:val="6"/>
        </w:numPr>
        <w:spacing w:lineRule="auto" w:line="276"/>
        <w:ind w:hanging="0" w:left="0"/>
        <w:jc w:val="both"/>
        <w:rPr>
          <w:sz w:val="24"/>
          <w:szCs w:val="24"/>
        </w:rPr>
      </w:pPr>
      <w:r>
        <w:rPr>
          <w:rFonts w:cs="Arial" w:ascii="Arial" w:hAnsi="Arial"/>
          <w:b/>
          <w:color w:themeColor="text1" w:val="000000"/>
          <w:sz w:val="24"/>
          <w:szCs w:val="24"/>
        </w:rPr>
        <w:t xml:space="preserve"> </w:t>
      </w:r>
      <w:r>
        <w:rPr>
          <w:rFonts w:cs="Arial" w:ascii="Arial" w:hAnsi="Arial"/>
          <w:b/>
          <w:color w:themeColor="text1" w:val="000000"/>
          <w:sz w:val="24"/>
          <w:szCs w:val="24"/>
        </w:rPr>
        <w:t xml:space="preserve">WSZYSCY WNIOSKODAWCY </w:t>
      </w:r>
      <w:r>
        <w:rPr>
          <w:rFonts w:cs="Arial" w:ascii="Arial" w:hAnsi="Arial"/>
          <w:bCs/>
          <w:color w:themeColor="text1" w:val="000000"/>
          <w:sz w:val="24"/>
          <w:szCs w:val="24"/>
        </w:rPr>
        <w:t>składają podpisane przez uprawnione osoby wniosek wraz z budżetem w wersji papierowej w 2 egzemplarzach do biura odpowiedniego Operatora.</w:t>
      </w:r>
    </w:p>
    <w:p>
      <w:pPr>
        <w:pStyle w:val="ListParagraph"/>
        <w:numPr>
          <w:ilvl w:val="3"/>
          <w:numId w:val="6"/>
        </w:numPr>
        <w:ind w:hanging="0" w:left="0"/>
        <w:jc w:val="both"/>
        <w:rPr>
          <w:sz w:val="24"/>
          <w:szCs w:val="24"/>
        </w:rPr>
      </w:pPr>
      <w:r>
        <w:rPr>
          <w:rFonts w:cs="Arial" w:ascii="Arial" w:hAnsi="Arial"/>
          <w:bCs/>
          <w:color w:themeColor="text1" w:val="000000"/>
          <w:sz w:val="24"/>
          <w:szCs w:val="24"/>
        </w:rPr>
        <w:t>Ponadto do oferty papierowej powinny zostać załączone następujące załączniki:</w:t>
      </w:r>
    </w:p>
    <w:p>
      <w:pPr>
        <w:pStyle w:val="ListParagraph"/>
        <w:spacing w:lineRule="auto" w:line="276"/>
        <w:ind w:left="0"/>
        <w:jc w:val="both"/>
        <w:rPr>
          <w:rFonts w:ascii="Arial" w:hAnsi="Arial" w:cs="Arial"/>
          <w:color w:themeColor="text1" w:val="000000"/>
          <w:sz w:val="24"/>
          <w:szCs w:val="24"/>
        </w:rPr>
      </w:pPr>
      <w:r>
        <w:rPr>
          <w:rFonts w:cs="Arial" w:ascii="Arial" w:hAnsi="Arial"/>
          <w:color w:themeColor="text1" w:val="000000"/>
          <w:sz w:val="24"/>
          <w:szCs w:val="24"/>
        </w:rPr>
      </w:r>
    </w:p>
    <w:p>
      <w:pPr>
        <w:pStyle w:val="Default"/>
        <w:spacing w:lineRule="auto" w:line="276" w:before="0" w:after="18"/>
        <w:jc w:val="both"/>
        <w:rPr>
          <w:sz w:val="24"/>
          <w:szCs w:val="24"/>
        </w:rPr>
      </w:pPr>
      <w:r>
        <w:rPr>
          <w:rFonts w:cs="Arial" w:ascii="Arial" w:hAnsi="Arial"/>
          <w:b/>
          <w:color w:themeColor="text1" w:val="000000"/>
          <w:sz w:val="24"/>
          <w:szCs w:val="24"/>
        </w:rPr>
        <w:t>MiŚLOP:</w:t>
      </w:r>
    </w:p>
    <w:p>
      <w:pPr>
        <w:pStyle w:val="Default"/>
        <w:spacing w:lineRule="auto" w:line="276" w:before="0" w:after="18"/>
        <w:jc w:val="both"/>
        <w:rPr>
          <w:sz w:val="24"/>
          <w:szCs w:val="24"/>
        </w:rPr>
      </w:pPr>
      <w:r>
        <w:rPr>
          <w:rFonts w:cs="Arial" w:ascii="Arial" w:hAnsi="Arial"/>
          <w:color w:themeColor="text1" w:val="000000"/>
          <w:sz w:val="24"/>
          <w:szCs w:val="24"/>
        </w:rPr>
        <w:t>- aktualny odpis KRS lub innego rejestru, nie starszy niż 3 miesiące przed złożeniem wniosku, poświadczającego, kto jest w organizacji upoważniony do składania oświadczeń woli. W przypadku stowarzyszeń zwykłych lub kół gospodyń wiejskich potwierdzenie wpisu do właściwego rejestru (kopia potwierdzona za zgodność z oryginałem).</w:t>
      </w:r>
    </w:p>
    <w:p>
      <w:pPr>
        <w:pStyle w:val="ListParagraph"/>
        <w:tabs>
          <w:tab w:val="clear" w:pos="720"/>
          <w:tab w:val="left" w:pos="284" w:leader="none"/>
        </w:tabs>
        <w:spacing w:lineRule="auto" w:line="276" w:before="240" w:after="240"/>
        <w:ind w:left="0"/>
        <w:jc w:val="both"/>
        <w:rPr>
          <w:sz w:val="24"/>
          <w:szCs w:val="24"/>
        </w:rPr>
      </w:pPr>
      <w:r>
        <w:rPr>
          <w:rFonts w:cs="Arial" w:ascii="Arial" w:hAnsi="Arial"/>
          <w:b/>
          <w:color w:themeColor="text1" w:val="000000"/>
          <w:sz w:val="24"/>
          <w:szCs w:val="24"/>
        </w:rPr>
        <w:t>GRUPY Z PATRONEM:</w:t>
      </w:r>
    </w:p>
    <w:p>
      <w:pPr>
        <w:pStyle w:val="Default"/>
        <w:spacing w:lineRule="auto" w:line="276" w:before="0" w:after="240"/>
        <w:jc w:val="both"/>
        <w:rPr>
          <w:sz w:val="24"/>
          <w:szCs w:val="24"/>
        </w:rPr>
      </w:pPr>
      <w:r>
        <w:rPr>
          <w:rFonts w:cs="Arial" w:ascii="Arial" w:hAnsi="Arial"/>
          <w:color w:themeColor="text1" w:val="000000"/>
          <w:sz w:val="24"/>
          <w:szCs w:val="24"/>
        </w:rPr>
        <w:t>- odpis KRS lub innego rejestru nie starszy niż 3 miesiące, przed złożeniem wniosku, poświadczającego kto w organizacji będącej Patronem upoważniony jest do składania oświadczeń woli (kopia potwierdzona za zgodność z oryginałem).</w:t>
      </w:r>
    </w:p>
    <w:p>
      <w:pPr>
        <w:pStyle w:val="ListParagraph"/>
        <w:numPr>
          <w:ilvl w:val="3"/>
          <w:numId w:val="6"/>
        </w:numPr>
        <w:spacing w:lineRule="auto" w:line="276"/>
        <w:ind w:hanging="0" w:left="0"/>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 xml:space="preserve">Operator na wniosek wnioskodawcy może usunąć omyłkowo złożoną ofertę.  </w:t>
      </w:r>
    </w:p>
    <w:p>
      <w:pPr>
        <w:pStyle w:val="ListParagraph"/>
        <w:numPr>
          <w:ilvl w:val="3"/>
          <w:numId w:val="6"/>
        </w:numPr>
        <w:spacing w:lineRule="auto" w:line="276"/>
        <w:ind w:hanging="0" w:left="0"/>
        <w:jc w:val="both"/>
        <w:rPr>
          <w:sz w:val="24"/>
          <w:szCs w:val="24"/>
        </w:rPr>
      </w:pPr>
      <w:r>
        <w:rPr>
          <w:rFonts w:cs="Arial" w:ascii="Arial" w:hAnsi="Arial"/>
          <w:color w:themeColor="text1" w:val="000000"/>
          <w:sz w:val="24"/>
          <w:szCs w:val="24"/>
        </w:rPr>
        <w:t xml:space="preserve"> </w:t>
      </w:r>
      <w:r>
        <w:rPr>
          <w:rFonts w:cs="Arial" w:ascii="Arial" w:hAnsi="Arial"/>
          <w:color w:themeColor="text1" w:val="000000"/>
          <w:sz w:val="24"/>
          <w:szCs w:val="24"/>
        </w:rPr>
        <w:t xml:space="preserve">Wnioskodawcy składają oświadczenia (zawarte we wniosku), z których wynika, iż są podmiotami uprawnionymi do udziału w konkursie. Na każdym etapie realizacji konkursu Operator oraz Instytucja Zarządzająca mają prawo żądać od Wnioskodawcy przedstawienia dokumentacji potwierdzającej informacje zawarte w oświadczeniach. Złożenie oświadczeń niezgodnych ze stanem faktycznym może skutkować niepodpisaniem umowy bądź obowiązkiem zwrotu mikrodotacji jako przyznanej nienależnie. </w:t>
      </w:r>
    </w:p>
    <w:p>
      <w:pPr>
        <w:pStyle w:val="ListParagraph"/>
        <w:numPr>
          <w:ilvl w:val="3"/>
          <w:numId w:val="6"/>
        </w:numPr>
        <w:spacing w:lineRule="auto" w:line="276"/>
        <w:ind w:hanging="0" w:left="0"/>
        <w:jc w:val="both"/>
        <w:rPr>
          <w:sz w:val="24"/>
          <w:szCs w:val="24"/>
        </w:rPr>
      </w:pPr>
      <w:r>
        <w:rPr>
          <w:rFonts w:cs="Arial" w:ascii="Arial" w:hAnsi="Arial"/>
          <w:color w:themeColor="text1" w:val="000000"/>
          <w:sz w:val="24"/>
          <w:szCs w:val="24"/>
        </w:rPr>
        <w:t xml:space="preserve"> </w:t>
      </w:r>
      <w:r>
        <w:rPr>
          <w:rFonts w:cs="Arial" w:ascii="Arial" w:hAnsi="Arial"/>
          <w:sz w:val="24"/>
          <w:szCs w:val="24"/>
        </w:rPr>
        <w:t>Wnioski można składać od dnia ogłoszenia r do dnia zamknięcia naboru.</w:t>
      </w:r>
    </w:p>
    <w:p>
      <w:pPr>
        <w:pStyle w:val="ListParagraph"/>
        <w:spacing w:lineRule="auto" w:line="276"/>
        <w:ind w:left="0"/>
        <w:jc w:val="both"/>
        <w:rPr>
          <w:sz w:val="24"/>
          <w:szCs w:val="24"/>
        </w:rPr>
      </w:pPr>
      <w:r>
        <w:rPr>
          <w:rFonts w:cs="Arial" w:ascii="Arial" w:hAnsi="Arial"/>
          <w:sz w:val="24"/>
          <w:szCs w:val="24"/>
        </w:rPr>
        <w:t>Za moment złożenia oferty uznaje się datę i godzinę</w:t>
      </w:r>
      <w:r>
        <w:rPr>
          <w:rFonts w:cs="Arial" w:ascii="Arial" w:hAnsi="Arial"/>
          <w:color w:val="000000"/>
          <w:sz w:val="24"/>
          <w:szCs w:val="24"/>
        </w:rPr>
        <w:t xml:space="preserve"> wpływu papierowej wersji wniosku wraz z budżetem do siedziby właściwego Operatora, </w:t>
      </w:r>
    </w:p>
    <w:p>
      <w:pPr>
        <w:pStyle w:val="ListParagraph"/>
        <w:spacing w:lineRule="auto" w:line="276"/>
        <w:ind w:left="0"/>
        <w:jc w:val="both"/>
        <w:rPr>
          <w:sz w:val="24"/>
          <w:szCs w:val="24"/>
        </w:rPr>
      </w:pPr>
      <w:r>
        <w:rPr>
          <w:rFonts w:cs="Arial" w:ascii="Arial" w:hAnsi="Arial"/>
          <w:sz w:val="24"/>
          <w:szCs w:val="24"/>
        </w:rPr>
        <w:t>6. Nabór zostanie zamknięty przez poszczególnych Operatorów w dniu gdy wpłyną wnioski kompletne pod względem formalnym na łączną kwotę 400 tys. zł na obszarze obsługiwanym przez danego Operatora. Operator poinformuje na swoich stronach o zamknięciu naboru. Wnioski, które zostaną złożone po wyczerpaniu puli środków na mikrodotację i zamknięciu naboru u danego Operatora pozostaną bez rozpatrzenia. W przypadku uwolnienia środków na mikrodotację wnioski te będą rozpatrywane w pierwszej kolejności.</w:t>
      </w:r>
    </w:p>
    <w:p>
      <w:pPr>
        <w:pStyle w:val="ListParagraph"/>
        <w:spacing w:lineRule="auto" w:line="276"/>
        <w:ind w:left="0"/>
        <w:jc w:val="both"/>
        <w:rPr>
          <w:sz w:val="24"/>
          <w:szCs w:val="24"/>
        </w:rPr>
      </w:pPr>
      <w:r>
        <w:rPr>
          <w:rFonts w:cs="Arial" w:ascii="Arial" w:hAnsi="Arial"/>
          <w:color w:themeColor="text1" w:val="000000"/>
          <w:sz w:val="24"/>
          <w:szCs w:val="24"/>
        </w:rPr>
        <w:t>7. Każdy Operator w przypadku niewykorzystania środków na mikrodotacje na swoim obszarze może dofinansować projekt z obszaru działania partnera.</w:t>
      </w:r>
    </w:p>
    <w:p>
      <w:pPr>
        <w:pStyle w:val="ListParagraph"/>
        <w:spacing w:lineRule="auto" w:line="276"/>
        <w:ind w:left="0"/>
        <w:jc w:val="both"/>
        <w:rPr>
          <w:sz w:val="24"/>
          <w:szCs w:val="24"/>
        </w:rPr>
      </w:pPr>
      <w:r>
        <w:rPr>
          <w:rFonts w:cs="Arial" w:ascii="Arial" w:hAnsi="Arial"/>
          <w:color w:themeColor="text1" w:val="000000"/>
          <w:sz w:val="24"/>
          <w:szCs w:val="24"/>
        </w:rPr>
        <w:t xml:space="preserve">8. Wnioski złożone do niewłaściwego Operatora zostają bez rozpatrzenia i mogą zostać ponownie złożone do właściwego Operatora. </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sz w:val="24"/>
          <w:szCs w:val="24"/>
        </w:rPr>
      </w:pPr>
      <w:r>
        <w:rPr/>
        <w:drawing>
          <wp:inline distT="0" distB="0" distL="0" distR="0">
            <wp:extent cx="5715000" cy="88900"/>
            <wp:effectExtent l="0" t="0" r="0" b="0"/>
            <wp:docPr id="1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20"/>
                    <pic:cNvPicPr>
                      <a:picLocks noChangeAspect="1" noChangeArrowheads="1"/>
                    </pic:cNvPicPr>
                  </pic:nvPicPr>
                  <pic:blipFill>
                    <a:blip r:embed="rId22"/>
                    <a:stretch>
                      <a:fillRect/>
                    </a:stretch>
                  </pic:blipFill>
                  <pic:spPr bwMode="auto">
                    <a:xfrm>
                      <a:off x="0" y="0"/>
                      <a:ext cx="5715000" cy="88900"/>
                    </a:xfrm>
                    <a:prstGeom prst="rect">
                      <a:avLst/>
                    </a:prstGeom>
                    <a:noFill/>
                  </pic:spPr>
                </pic:pic>
              </a:graphicData>
            </a:graphic>
          </wp:inline>
        </w:drawing>
      </w:r>
    </w:p>
    <w:p>
      <w:pPr>
        <w:pStyle w:val="Normal"/>
        <w:rPr>
          <w:sz w:val="24"/>
          <w:szCs w:val="24"/>
        </w:rPr>
      </w:pPr>
      <w:r>
        <w:rPr>
          <w:rFonts w:cs="Arial" w:ascii="Arial" w:hAnsi="Arial"/>
          <w:b/>
          <w:color w:themeColor="text1" w:val="000000"/>
          <w:sz w:val="24"/>
          <w:szCs w:val="24"/>
        </w:rPr>
        <w:t>IX ZAWARCIE UMOWY</w:t>
      </w:r>
      <w:r>
        <w:rPr/>
        <w:drawing>
          <wp:inline distT="0" distB="0" distL="0" distR="0">
            <wp:extent cx="5715000" cy="88900"/>
            <wp:effectExtent l="0" t="0" r="0" b="0"/>
            <wp:docPr id="18"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21"/>
                    <pic:cNvPicPr>
                      <a:picLocks noChangeAspect="1" noChangeArrowheads="1"/>
                    </pic:cNvPicPr>
                  </pic:nvPicPr>
                  <pic:blipFill>
                    <a:blip r:embed="rId23"/>
                    <a:stretch>
                      <a:fillRect/>
                    </a:stretch>
                  </pic:blipFill>
                  <pic:spPr bwMode="auto">
                    <a:xfrm>
                      <a:off x="0" y="0"/>
                      <a:ext cx="5715000" cy="88900"/>
                    </a:xfrm>
                    <a:prstGeom prst="rect">
                      <a:avLst/>
                    </a:prstGeom>
                    <a:noFill/>
                  </pic:spPr>
                </pic:pic>
              </a:graphicData>
            </a:graphic>
          </wp:inline>
        </w:drawing>
      </w:r>
    </w:p>
    <w:p>
      <w:pPr>
        <w:pStyle w:val="ListParagraph"/>
        <w:numPr>
          <w:ilvl w:val="0"/>
          <w:numId w:val="4"/>
        </w:numPr>
        <w:tabs>
          <w:tab w:val="clear" w:pos="720"/>
          <w:tab w:val="left" w:pos="284" w:leader="none"/>
        </w:tabs>
        <w:spacing w:lineRule="auto" w:line="276"/>
        <w:ind w:left="0"/>
        <w:jc w:val="both"/>
        <w:rPr>
          <w:sz w:val="24"/>
          <w:szCs w:val="24"/>
        </w:rPr>
      </w:pPr>
      <w:r>
        <w:rPr>
          <w:rFonts w:cs="Arial" w:ascii="Arial" w:hAnsi="Arial"/>
          <w:color w:themeColor="text1" w:val="000000"/>
          <w:sz w:val="24"/>
          <w:szCs w:val="24"/>
        </w:rPr>
        <w:t xml:space="preserve">Wnioskodawcy, których projekty zostaną wybrane do dofinansowania, otrzymają od Operatora drogą elektroniczną, na wskazany we wniosku adres e-mail, instrukcję zawarcia umowy. Wnioskodawcy są zobowiązani dostarczyć umowę we wskazanej w instrukcji liczbie egzemplarzy, podpisaną przez upoważnione osoby, do biura Operatora w ciągu 7 dni roboczych od otrzymania wyżej wymienionej instrukcji. Umowę podpisują osoby upoważnione, wskazane w niej na podstawie informacji z Wniosku o mikrodotację. </w:t>
      </w:r>
    </w:p>
    <w:p>
      <w:pPr>
        <w:pStyle w:val="ListParagraph"/>
        <w:numPr>
          <w:ilvl w:val="0"/>
          <w:numId w:val="4"/>
        </w:numPr>
        <w:tabs>
          <w:tab w:val="clear" w:pos="720"/>
          <w:tab w:val="left" w:pos="284" w:leader="none"/>
        </w:tabs>
        <w:spacing w:lineRule="auto" w:line="276"/>
        <w:ind w:left="0"/>
        <w:jc w:val="both"/>
        <w:rPr>
          <w:sz w:val="24"/>
          <w:szCs w:val="24"/>
        </w:rPr>
      </w:pPr>
      <w:r>
        <w:rPr>
          <w:rFonts w:cs="Arial" w:ascii="Arial" w:hAnsi="Arial"/>
          <w:color w:themeColor="text1" w:val="000000"/>
          <w:sz w:val="24"/>
          <w:szCs w:val="24"/>
        </w:rPr>
        <w:t xml:space="preserve">Wraz z umową Wnioskodawcy są zobowiązani dostarczyć do biura Operatora dodatkowe dokumenty: </w:t>
      </w:r>
    </w:p>
    <w:p>
      <w:pPr>
        <w:pStyle w:val="ListParagraph"/>
        <w:tabs>
          <w:tab w:val="clear" w:pos="720"/>
          <w:tab w:val="left" w:pos="284" w:leader="none"/>
        </w:tabs>
        <w:spacing w:lineRule="auto" w:line="276"/>
        <w:ind w:left="0"/>
        <w:jc w:val="both"/>
        <w:rPr>
          <w:rFonts w:ascii="Arial" w:hAnsi="Arial" w:cs="Arial"/>
          <w:iCs/>
          <w:color w:themeColor="text1" w:val="000000"/>
          <w:sz w:val="24"/>
          <w:szCs w:val="24"/>
        </w:rPr>
      </w:pPr>
      <w:r>
        <w:rPr>
          <w:rFonts w:cs="Arial" w:ascii="Arial" w:hAnsi="Arial"/>
          <w:iCs/>
          <w:color w:themeColor="text1" w:val="000000"/>
          <w:sz w:val="24"/>
          <w:szCs w:val="24"/>
        </w:rPr>
      </w:r>
    </w:p>
    <w:p>
      <w:pPr>
        <w:pStyle w:val="ListParagraph"/>
        <w:tabs>
          <w:tab w:val="clear" w:pos="720"/>
          <w:tab w:val="left" w:pos="284" w:leader="none"/>
        </w:tabs>
        <w:spacing w:lineRule="auto" w:line="276"/>
        <w:ind w:left="0"/>
        <w:jc w:val="both"/>
        <w:rPr>
          <w:sz w:val="24"/>
          <w:szCs w:val="24"/>
        </w:rPr>
      </w:pPr>
      <w:r>
        <w:rPr>
          <w:rFonts w:cs="Arial" w:ascii="Arial" w:hAnsi="Arial"/>
          <w:b/>
          <w:bCs/>
          <w:color w:themeColor="text1" w:val="000000"/>
          <w:sz w:val="24"/>
          <w:szCs w:val="24"/>
        </w:rPr>
        <w:t>MiŚLOP do umowy zobowiąz</w:t>
      </w:r>
      <w:r>
        <w:rPr>
          <w:rFonts w:cs="Arial" w:ascii="Arial" w:hAnsi="Arial"/>
          <w:b/>
          <w:bCs/>
          <w:color w:val="000000"/>
          <w:sz w:val="24"/>
          <w:szCs w:val="24"/>
        </w:rPr>
        <w:t>ane są załączyć:</w:t>
      </w:r>
    </w:p>
    <w:p>
      <w:pPr>
        <w:pStyle w:val="ListParagraph"/>
        <w:numPr>
          <w:ilvl w:val="0"/>
          <w:numId w:val="19"/>
        </w:numPr>
        <w:tabs>
          <w:tab w:val="clear" w:pos="720"/>
          <w:tab w:val="left" w:pos="284" w:leader="none"/>
        </w:tabs>
        <w:spacing w:lineRule="auto" w:line="276"/>
        <w:jc w:val="both"/>
        <w:rPr>
          <w:sz w:val="24"/>
          <w:szCs w:val="24"/>
        </w:rPr>
      </w:pPr>
      <w:r>
        <w:rPr>
          <w:rFonts w:cs="Arial" w:ascii="Arial" w:hAnsi="Arial"/>
          <w:color w:val="000000"/>
          <w:sz w:val="24"/>
          <w:szCs w:val="24"/>
        </w:rPr>
        <w:t xml:space="preserve">sprawozdania finansowe </w:t>
      </w:r>
      <w:bookmarkStart w:id="1" w:name="_GoBack"/>
      <w:r>
        <w:rPr>
          <w:rFonts w:cs="Arial" w:ascii="Arial" w:hAnsi="Arial"/>
          <w:color w:val="000000"/>
          <w:sz w:val="24"/>
          <w:szCs w:val="24"/>
        </w:rPr>
        <w:t xml:space="preserve">za trzy zamknięte </w:t>
      </w:r>
      <w:bookmarkEnd w:id="1"/>
      <w:r>
        <w:rPr>
          <w:rFonts w:cs="Arial" w:ascii="Arial" w:hAnsi="Arial"/>
          <w:color w:val="000000"/>
          <w:sz w:val="24"/>
          <w:szCs w:val="24"/>
        </w:rPr>
        <w:t>lata</w:t>
      </w:r>
      <w:r>
        <w:rPr>
          <w:rFonts w:cs="Arial" w:ascii="Arial" w:hAnsi="Arial"/>
          <w:color w:themeColor="text1" w:val="000000"/>
          <w:sz w:val="24"/>
          <w:szCs w:val="24"/>
        </w:rPr>
        <w:t xml:space="preserve"> budżetowe (</w:t>
      </w:r>
      <w:r>
        <w:rPr>
          <w:rFonts w:cs="Arial" w:ascii="Arial" w:hAnsi="Arial"/>
          <w:iCs/>
          <w:color w:themeColor="text1" w:val="000000"/>
          <w:sz w:val="24"/>
          <w:szCs w:val="24"/>
        </w:rPr>
        <w:t>w przypadku młodszych organizacji z dwóch ostatnich zamkniętych lat budżetowych lub z ostatniego roku) w celu potwierdzenia średniego rocznego przychodu za te lata.</w:t>
      </w:r>
    </w:p>
    <w:p>
      <w:pPr>
        <w:pStyle w:val="ListParagraph"/>
        <w:tabs>
          <w:tab w:val="clear" w:pos="720"/>
          <w:tab w:val="left" w:pos="284" w:leader="none"/>
        </w:tabs>
        <w:spacing w:lineRule="auto" w:line="276"/>
        <w:ind w:left="0"/>
        <w:jc w:val="both"/>
        <w:rPr>
          <w:rFonts w:ascii="Arial" w:hAnsi="Arial" w:cs="Arial"/>
          <w:iCs/>
          <w:color w:themeColor="text1" w:val="000000"/>
          <w:sz w:val="24"/>
          <w:szCs w:val="24"/>
        </w:rPr>
      </w:pPr>
      <w:r>
        <w:rPr>
          <w:rFonts w:cs="Arial" w:ascii="Arial" w:hAnsi="Arial"/>
          <w:iCs/>
          <w:color w:themeColor="text1" w:val="000000"/>
          <w:sz w:val="24"/>
          <w:szCs w:val="24"/>
        </w:rPr>
      </w:r>
    </w:p>
    <w:p>
      <w:pPr>
        <w:pStyle w:val="ListParagraph"/>
        <w:numPr>
          <w:ilvl w:val="0"/>
          <w:numId w:val="19"/>
        </w:numPr>
        <w:tabs>
          <w:tab w:val="clear" w:pos="720"/>
          <w:tab w:val="left" w:pos="284" w:leader="none"/>
        </w:tabs>
        <w:jc w:val="both"/>
        <w:rPr>
          <w:sz w:val="24"/>
          <w:szCs w:val="24"/>
        </w:rPr>
      </w:pPr>
      <w:r>
        <w:rPr>
          <w:rFonts w:cs="Arial" w:ascii="Arial" w:hAnsi="Arial"/>
          <w:iCs/>
          <w:color w:themeColor="text1" w:val="000000"/>
          <w:sz w:val="24"/>
          <w:szCs w:val="24"/>
        </w:rPr>
        <w:t xml:space="preserve">Podmioty prowadzące uproszczoną ewidencję przychodów i kosztów: zeznania podatkowe CIT-8 (w przypadku młodszych organizacji z </w:t>
      </w:r>
      <w:r>
        <w:rPr>
          <w:rFonts w:cs="Arial" w:ascii="Arial" w:hAnsi="Arial"/>
          <w:iCs/>
          <w:sz w:val="24"/>
          <w:szCs w:val="24"/>
        </w:rPr>
        <w:t>trzech</w:t>
      </w:r>
      <w:r>
        <w:rPr>
          <w:rFonts w:cs="Arial" w:ascii="Arial" w:hAnsi="Arial"/>
          <w:iCs/>
          <w:color w:val="FF0000"/>
          <w:sz w:val="24"/>
          <w:szCs w:val="24"/>
        </w:rPr>
        <w:t xml:space="preserve"> </w:t>
      </w:r>
      <w:r>
        <w:rPr>
          <w:rFonts w:cs="Arial" w:ascii="Arial" w:hAnsi="Arial"/>
          <w:iCs/>
          <w:color w:themeColor="text1" w:val="000000"/>
          <w:sz w:val="24"/>
          <w:szCs w:val="24"/>
        </w:rPr>
        <w:t>ostatnich zamkniętych lat budżetowych lub z ostatniego roku) w celu potwierdzenia średniego rocznego przychodu za te lata.</w:t>
      </w:r>
    </w:p>
    <w:p>
      <w:pPr>
        <w:pStyle w:val="ListParagraph"/>
        <w:tabs>
          <w:tab w:val="clear" w:pos="720"/>
          <w:tab w:val="left" w:pos="284" w:leader="none"/>
        </w:tabs>
        <w:spacing w:lineRule="auto" w:line="276"/>
        <w:ind w:left="0"/>
        <w:jc w:val="both"/>
        <w:rPr>
          <w:rFonts w:ascii="Arial" w:hAnsi="Arial" w:cs="Arial"/>
          <w:iCs/>
          <w:color w:themeColor="text1" w:val="000000"/>
          <w:sz w:val="24"/>
          <w:szCs w:val="24"/>
        </w:rPr>
      </w:pPr>
      <w:r>
        <w:rPr>
          <w:rFonts w:cs="Arial" w:ascii="Arial" w:hAnsi="Arial"/>
          <w:iCs/>
          <w:color w:themeColor="text1" w:val="000000"/>
          <w:sz w:val="24"/>
          <w:szCs w:val="24"/>
        </w:rPr>
      </w:r>
    </w:p>
    <w:p>
      <w:pPr>
        <w:pStyle w:val="ListParagraph"/>
        <w:tabs>
          <w:tab w:val="clear" w:pos="720"/>
          <w:tab w:val="left" w:pos="284" w:leader="none"/>
        </w:tabs>
        <w:spacing w:lineRule="auto" w:line="276" w:before="240" w:after="0"/>
        <w:ind w:left="0"/>
        <w:jc w:val="both"/>
        <w:rPr>
          <w:sz w:val="24"/>
          <w:szCs w:val="24"/>
        </w:rPr>
      </w:pPr>
      <w:r>
        <w:rPr>
          <w:rFonts w:cs="Arial" w:ascii="Arial" w:hAnsi="Arial"/>
          <w:b/>
          <w:color w:themeColor="text1" w:val="000000"/>
          <w:sz w:val="24"/>
          <w:szCs w:val="24"/>
        </w:rPr>
        <w:t>GRUPY Z PATRONEM do umowy są zobowiązane załączyć:</w:t>
      </w:r>
    </w:p>
    <w:p>
      <w:pPr>
        <w:pStyle w:val="Default"/>
        <w:spacing w:lineRule="auto" w:line="276"/>
        <w:jc w:val="both"/>
        <w:rPr>
          <w:sz w:val="24"/>
          <w:szCs w:val="24"/>
        </w:rPr>
      </w:pPr>
      <w:r>
        <w:rPr>
          <w:rFonts w:cs="Arial" w:ascii="Arial" w:hAnsi="Arial"/>
          <w:color w:themeColor="text1" w:val="000000"/>
          <w:sz w:val="24"/>
          <w:szCs w:val="24"/>
        </w:rPr>
        <w:t xml:space="preserve">- potwierdzoną za zgodność z oryginałem kopię umowy o współpracy z Patronem podpisaną przez </w:t>
      </w:r>
      <w:r>
        <w:rPr>
          <w:rFonts w:cs="Arial" w:ascii="Arial" w:hAnsi="Arial"/>
          <w:color w:themeColor="text1" w:val="000000"/>
          <w:sz w:val="24"/>
          <w:szCs w:val="24"/>
          <w:u w:val="single"/>
        </w:rPr>
        <w:t>wszystkich</w:t>
      </w:r>
      <w:r>
        <w:rPr>
          <w:rFonts w:cs="Arial" w:ascii="Arial" w:hAnsi="Arial"/>
          <w:color w:themeColor="text1" w:val="000000"/>
          <w:sz w:val="24"/>
          <w:szCs w:val="24"/>
        </w:rPr>
        <w:t xml:space="preserve"> członków grupy i przedstawicieli Patrona – wersja papierowa.</w:t>
      </w:r>
    </w:p>
    <w:p>
      <w:pPr>
        <w:pStyle w:val="ListParagraph"/>
        <w:tabs>
          <w:tab w:val="clear" w:pos="720"/>
          <w:tab w:val="left" w:pos="284" w:leader="none"/>
        </w:tabs>
        <w:spacing w:lineRule="auto" w:line="276"/>
        <w:ind w:left="0"/>
        <w:jc w:val="both"/>
        <w:rPr>
          <w:rFonts w:ascii="Arial" w:hAnsi="Arial" w:cs="Arial"/>
          <w:iCs/>
          <w:color w:themeColor="text1" w:val="000000"/>
          <w:sz w:val="24"/>
          <w:szCs w:val="24"/>
        </w:rPr>
      </w:pPr>
      <w:r>
        <w:rPr>
          <w:rFonts w:cs="Arial" w:ascii="Arial" w:hAnsi="Arial"/>
          <w:iCs/>
          <w:color w:themeColor="text1" w:val="000000"/>
          <w:sz w:val="24"/>
          <w:szCs w:val="24"/>
        </w:rPr>
      </w:r>
    </w:p>
    <w:p>
      <w:pPr>
        <w:pStyle w:val="ListParagraph"/>
        <w:numPr>
          <w:ilvl w:val="0"/>
          <w:numId w:val="4"/>
        </w:numPr>
        <w:tabs>
          <w:tab w:val="clear" w:pos="720"/>
          <w:tab w:val="left" w:pos="284" w:leader="none"/>
        </w:tabs>
        <w:spacing w:lineRule="auto" w:line="276"/>
        <w:ind w:left="0"/>
        <w:jc w:val="both"/>
        <w:rPr>
          <w:sz w:val="24"/>
          <w:szCs w:val="24"/>
        </w:rPr>
      </w:pPr>
      <w:r>
        <w:rPr>
          <w:rFonts w:cs="Arial" w:ascii="Arial" w:hAnsi="Arial"/>
          <w:iCs/>
          <w:color w:themeColor="text1" w:val="000000"/>
          <w:sz w:val="24"/>
          <w:szCs w:val="24"/>
        </w:rPr>
        <w:t xml:space="preserve">Na dzień zawarcia umowy weryfikowana będzie również prawdziwość oświadczenia z wniosku o mikrodotację dotyczącego obecności </w:t>
      </w:r>
      <w:r>
        <w:rPr>
          <w:rFonts w:cs="Arial" w:ascii="Arial" w:hAnsi="Arial"/>
          <w:color w:themeColor="text1" w:val="000000"/>
          <w:sz w:val="24"/>
          <w:szCs w:val="24"/>
        </w:rPr>
        <w:t xml:space="preserve">oferenta na liście beneficjentów przewidzianych do dofinansowania w ramach Priorytetu 1 w programie Moc Małych Społeczności. </w:t>
      </w:r>
    </w:p>
    <w:p>
      <w:pPr>
        <w:pStyle w:val="Default"/>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numPr>
          <w:ilvl w:val="0"/>
          <w:numId w:val="4"/>
        </w:numPr>
        <w:tabs>
          <w:tab w:val="clear" w:pos="720"/>
          <w:tab w:val="left" w:pos="284" w:leader="none"/>
        </w:tabs>
        <w:spacing w:lineRule="auto" w:line="276"/>
        <w:ind w:left="0"/>
        <w:jc w:val="both"/>
        <w:rPr>
          <w:sz w:val="24"/>
          <w:szCs w:val="24"/>
        </w:rPr>
      </w:pPr>
      <w:r>
        <w:rPr>
          <w:rFonts w:cs="Arial" w:ascii="Arial" w:hAnsi="Arial"/>
          <w:color w:themeColor="text1" w:val="000000"/>
          <w:sz w:val="24"/>
          <w:szCs w:val="24"/>
        </w:rPr>
        <w:t xml:space="preserve">Umowa zostanie podpisana przez Operatora i odesłana/przekazana Wnioskodawcy. W przypadku grup nieformalnych bez Patrona Operator może wezwać lidera grupy do stawiennictwa osobistego w biurze Operatora, celem podpisania umowy o mikrodotację. </w:t>
        <w:br/>
      </w:r>
    </w:p>
    <w:p>
      <w:pPr>
        <w:pStyle w:val="Default"/>
        <w:numPr>
          <w:ilvl w:val="0"/>
          <w:numId w:val="4"/>
        </w:numPr>
        <w:tabs>
          <w:tab w:val="clear" w:pos="720"/>
          <w:tab w:val="left" w:pos="284" w:leader="none"/>
        </w:tabs>
        <w:spacing w:lineRule="auto" w:line="276"/>
        <w:ind w:left="0"/>
        <w:jc w:val="both"/>
        <w:rPr>
          <w:sz w:val="24"/>
          <w:szCs w:val="24"/>
        </w:rPr>
      </w:pPr>
      <w:r>
        <w:rPr>
          <w:rFonts w:cs="Arial" w:ascii="Arial" w:hAnsi="Arial"/>
          <w:color w:themeColor="text1" w:val="000000"/>
          <w:sz w:val="24"/>
          <w:szCs w:val="24"/>
        </w:rPr>
        <w:t>Wymagane jest Złożenie wniosków oraz późniejszej korespondencji do Operatorów właściwych ze względu na siedzibę organizacji/grupy:</w:t>
      </w:r>
    </w:p>
    <w:p>
      <w:pPr>
        <w:pStyle w:val="Default"/>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spacing w:lineRule="auto" w:line="276"/>
        <w:jc w:val="both"/>
        <w:rPr>
          <w:sz w:val="24"/>
          <w:szCs w:val="24"/>
        </w:rPr>
      </w:pPr>
      <w:r>
        <w:rPr>
          <w:rFonts w:cs="Arial" w:ascii="Arial" w:hAnsi="Arial"/>
          <w:b/>
          <w:color w:themeColor="text1" w:val="000000"/>
          <w:sz w:val="24"/>
          <w:szCs w:val="24"/>
        </w:rPr>
        <w:t>1) dla wnioskodawców z powiatów: toruńskiego, golubsko-dobrzyńskiego, rypińskiego, lipnowskiego, aleksandrowskiego, radziejowskiego, inowrocławskiego, włocławskiego, mogileńskiego, bydgoskiego, m. Włocławek:</w:t>
      </w:r>
    </w:p>
    <w:p>
      <w:pPr>
        <w:pStyle w:val="Default"/>
        <w:spacing w:lineRule="auto" w:line="276"/>
        <w:jc w:val="both"/>
        <w:rPr>
          <w:sz w:val="24"/>
          <w:szCs w:val="24"/>
        </w:rPr>
      </w:pPr>
      <w:r>
        <w:rPr>
          <w:rFonts w:cs="Arial" w:ascii="Arial" w:hAnsi="Arial"/>
          <w:color w:themeColor="text1" w:val="000000"/>
          <w:sz w:val="24"/>
          <w:szCs w:val="24"/>
        </w:rPr>
        <w:t>Stowarzyszenie Kujawsko-Pomorski Ośrodek Wsparcia Inicjatyw Pozarządowych TŁOK</w:t>
      </w:r>
    </w:p>
    <w:p>
      <w:pPr>
        <w:pStyle w:val="Default"/>
        <w:spacing w:lineRule="auto" w:line="276"/>
        <w:jc w:val="both"/>
        <w:rPr>
          <w:sz w:val="24"/>
          <w:szCs w:val="24"/>
        </w:rPr>
      </w:pPr>
      <w:r>
        <w:rPr>
          <w:rFonts w:cs="Arial" w:ascii="Arial" w:hAnsi="Arial"/>
          <w:color w:themeColor="text1" w:val="000000"/>
          <w:sz w:val="24"/>
          <w:szCs w:val="24"/>
        </w:rPr>
        <w:t>ul. Janiny Bartkiewiczówny 69, 87-100 Toruń</w:t>
      </w:r>
    </w:p>
    <w:p>
      <w:pPr>
        <w:pStyle w:val="Default"/>
        <w:spacing w:lineRule="auto" w:line="276"/>
        <w:jc w:val="both"/>
        <w:rPr>
          <w:sz w:val="24"/>
          <w:szCs w:val="24"/>
        </w:rPr>
      </w:pPr>
      <w:r>
        <w:rPr>
          <w:rFonts w:cs="Arial" w:ascii="Arial" w:hAnsi="Arial"/>
          <w:color w:themeColor="text1" w:val="000000"/>
          <w:sz w:val="24"/>
          <w:szCs w:val="24"/>
        </w:rPr>
        <w:t xml:space="preserve">w wersji papierowej z dopiskiem na kopercie </w:t>
      </w:r>
      <w:r>
        <w:rPr>
          <w:rFonts w:cs="Arial" w:ascii="Arial" w:hAnsi="Arial"/>
          <w:b/>
          <w:color w:themeColor="text1" w:val="000000"/>
          <w:sz w:val="24"/>
          <w:szCs w:val="24"/>
        </w:rPr>
        <w:t xml:space="preserve">„Inicjuj w małych społecznościach 2.0” </w:t>
      </w:r>
    </w:p>
    <w:p>
      <w:pPr>
        <w:pStyle w:val="Default"/>
        <w:spacing w:lineRule="auto" w:line="276"/>
        <w:jc w:val="both"/>
        <w:rPr>
          <w:rFonts w:ascii="Arial" w:hAnsi="Arial" w:cs="Arial"/>
          <w:b/>
          <w:color w:themeColor="text1" w:val="000000"/>
          <w:sz w:val="24"/>
          <w:szCs w:val="24"/>
        </w:rPr>
      </w:pPr>
      <w:r>
        <w:rPr>
          <w:rFonts w:cs="Arial" w:ascii="Arial" w:hAnsi="Arial"/>
          <w:b/>
          <w:color w:themeColor="text1" w:val="000000"/>
          <w:sz w:val="24"/>
          <w:szCs w:val="24"/>
        </w:rPr>
      </w:r>
    </w:p>
    <w:p>
      <w:pPr>
        <w:pStyle w:val="Default"/>
        <w:spacing w:lineRule="auto" w:line="276"/>
        <w:jc w:val="both"/>
        <w:rPr>
          <w:sz w:val="24"/>
          <w:szCs w:val="24"/>
        </w:rPr>
      </w:pPr>
      <w:r>
        <w:rPr>
          <w:rFonts w:cs="Arial" w:ascii="Arial" w:hAnsi="Arial"/>
          <w:b/>
          <w:color w:themeColor="text1" w:val="000000"/>
          <w:sz w:val="24"/>
          <w:szCs w:val="24"/>
        </w:rPr>
        <w:t>2) dla wnioskodawców z powiatów: brodnickiego, wąbrzeskiego, grudziądzkiego, chełmińskiego, świeckiego, tucholskiego, sępoleńskiego, nakielskiego, żnińskiego, m. Grudziądz</w:t>
      </w:r>
    </w:p>
    <w:p>
      <w:pPr>
        <w:pStyle w:val="Default"/>
        <w:spacing w:lineRule="auto" w:line="276"/>
        <w:jc w:val="both"/>
        <w:rPr>
          <w:sz w:val="24"/>
          <w:szCs w:val="24"/>
        </w:rPr>
      </w:pPr>
      <w:r>
        <w:rPr>
          <w:rFonts w:cs="Arial" w:ascii="Arial" w:hAnsi="Arial"/>
          <w:color w:themeColor="text1" w:val="000000"/>
          <w:sz w:val="24"/>
          <w:szCs w:val="24"/>
        </w:rPr>
        <w:t>Towarzystwo Rozwoju Gminy Płużnica 37A</w:t>
      </w:r>
    </w:p>
    <w:p>
      <w:pPr>
        <w:pStyle w:val="Default"/>
        <w:spacing w:lineRule="auto" w:line="276"/>
        <w:jc w:val="both"/>
        <w:rPr>
          <w:sz w:val="24"/>
          <w:szCs w:val="24"/>
        </w:rPr>
      </w:pPr>
      <w:r>
        <w:rPr>
          <w:rFonts w:cs="Arial" w:ascii="Arial" w:hAnsi="Arial"/>
          <w:color w:themeColor="text1" w:val="000000"/>
          <w:sz w:val="24"/>
          <w:szCs w:val="24"/>
        </w:rPr>
        <w:t>87-214 Płużnica</w:t>
      </w:r>
    </w:p>
    <w:p>
      <w:pPr>
        <w:pStyle w:val="Default"/>
        <w:spacing w:lineRule="auto" w:line="276"/>
        <w:jc w:val="both"/>
        <w:rPr>
          <w:sz w:val="24"/>
          <w:szCs w:val="24"/>
        </w:rPr>
      </w:pPr>
      <w:r>
        <w:rPr>
          <w:rFonts w:cs="Arial" w:ascii="Arial" w:hAnsi="Arial"/>
          <w:color w:themeColor="text1" w:val="000000"/>
          <w:sz w:val="24"/>
          <w:szCs w:val="24"/>
        </w:rPr>
        <w:t xml:space="preserve">w wersji papierowej z dopiskiem na kopercie </w:t>
      </w:r>
      <w:r>
        <w:rPr>
          <w:rFonts w:cs="Arial" w:ascii="Arial" w:hAnsi="Arial"/>
          <w:b/>
          <w:color w:themeColor="text1" w:val="000000"/>
          <w:sz w:val="24"/>
          <w:szCs w:val="24"/>
        </w:rPr>
        <w:t>„</w:t>
      </w:r>
      <w:r>
        <w:rPr>
          <w:rFonts w:cs="Arial" w:ascii="Arial" w:hAnsi="Arial"/>
          <w:color w:themeColor="text1" w:val="000000"/>
          <w:sz w:val="24"/>
          <w:szCs w:val="24"/>
        </w:rPr>
        <w:t xml:space="preserve">Inicjuj w małych społecznościach 2.0” </w:t>
      </w:r>
    </w:p>
    <w:p>
      <w:pPr>
        <w:pStyle w:val="Default"/>
        <w:spacing w:lineRule="auto" w:line="276"/>
        <w:jc w:val="both"/>
        <w:rPr>
          <w:rFonts w:ascii="Arial" w:hAnsi="Arial" w:cs="Arial"/>
          <w:color w:themeColor="text1" w:val="000000"/>
          <w:sz w:val="24"/>
          <w:szCs w:val="24"/>
        </w:rPr>
      </w:pPr>
      <w:r>
        <w:rPr>
          <w:rFonts w:cs="Arial" w:ascii="Arial" w:hAnsi="Arial"/>
          <w:color w:themeColor="text1" w:val="000000"/>
          <w:sz w:val="24"/>
          <w:szCs w:val="24"/>
        </w:rPr>
      </w:r>
    </w:p>
    <w:p>
      <w:pPr>
        <w:pStyle w:val="Default"/>
        <w:numPr>
          <w:ilvl w:val="0"/>
          <w:numId w:val="4"/>
        </w:numPr>
        <w:tabs>
          <w:tab w:val="clear" w:pos="720"/>
          <w:tab w:val="left" w:pos="284" w:leader="none"/>
        </w:tabs>
        <w:spacing w:lineRule="auto" w:line="276"/>
        <w:ind w:left="0"/>
        <w:jc w:val="both"/>
        <w:rPr>
          <w:sz w:val="24"/>
          <w:szCs w:val="24"/>
        </w:rPr>
      </w:pPr>
      <w:r>
        <w:rPr>
          <w:rFonts w:cs="Arial" w:ascii="Arial" w:hAnsi="Arial"/>
          <w:color w:themeColor="text1" w:val="000000"/>
          <w:sz w:val="24"/>
          <w:szCs w:val="24"/>
        </w:rPr>
        <w:t>Umowa może nie zostać zawarta w przypadku:</w:t>
      </w:r>
    </w:p>
    <w:p>
      <w:pPr>
        <w:pStyle w:val="Default"/>
        <w:numPr>
          <w:ilvl w:val="0"/>
          <w:numId w:val="5"/>
        </w:numPr>
        <w:tabs>
          <w:tab w:val="clear" w:pos="720"/>
          <w:tab w:val="left" w:pos="284" w:leader="none"/>
        </w:tabs>
        <w:spacing w:lineRule="auto" w:line="276"/>
        <w:ind w:hanging="0" w:left="0"/>
        <w:jc w:val="both"/>
        <w:rPr>
          <w:sz w:val="24"/>
          <w:szCs w:val="24"/>
        </w:rPr>
      </w:pPr>
      <w:r>
        <w:rPr>
          <w:rFonts w:cs="Arial" w:ascii="Arial" w:hAnsi="Arial"/>
          <w:color w:themeColor="text1" w:val="000000"/>
          <w:sz w:val="24"/>
          <w:szCs w:val="24"/>
        </w:rPr>
        <w:t>niedostarczenia umowy lub wymaganych załączników w wymaganym terminie;</w:t>
      </w:r>
    </w:p>
    <w:p>
      <w:pPr>
        <w:pStyle w:val="Default"/>
        <w:numPr>
          <w:ilvl w:val="0"/>
          <w:numId w:val="5"/>
        </w:numPr>
        <w:tabs>
          <w:tab w:val="clear" w:pos="720"/>
          <w:tab w:val="left" w:pos="284" w:leader="none"/>
        </w:tabs>
        <w:spacing w:lineRule="auto" w:line="276"/>
        <w:ind w:hanging="0" w:left="0"/>
        <w:jc w:val="both"/>
        <w:rPr>
          <w:sz w:val="24"/>
          <w:szCs w:val="24"/>
        </w:rPr>
      </w:pPr>
      <w:r>
        <w:rPr>
          <w:rFonts w:cs="Arial" w:ascii="Arial" w:hAnsi="Arial"/>
          <w:color w:themeColor="text1" w:val="000000"/>
          <w:sz w:val="24"/>
          <w:szCs w:val="24"/>
        </w:rPr>
        <w:t>złożenia przez Wnioskodawcę oświadczeń niezgodnych ze stanem faktycznym.</w:t>
      </w:r>
    </w:p>
    <w:p>
      <w:pPr>
        <w:pStyle w:val="Default"/>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lineRule="auto" w:line="276"/>
        <w:rPr>
          <w:rFonts w:ascii="Arial" w:hAnsi="Arial" w:cs="Arial"/>
          <w:b/>
          <w:color w:themeColor="text1" w:val="000000"/>
          <w:sz w:val="24"/>
          <w:szCs w:val="24"/>
        </w:rPr>
      </w:pPr>
      <w:r>
        <w:rPr>
          <w:rFonts w:cs="Arial" w:ascii="Arial" w:hAnsi="Arial"/>
          <w:b/>
          <w:color w:themeColor="text1" w:val="000000"/>
          <w:sz w:val="24"/>
          <w:szCs w:val="24"/>
        </w:rPr>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rPr>
          <w:sz w:val="24"/>
          <w:szCs w:val="24"/>
        </w:rPr>
      </w:pPr>
      <w:r>
        <w:rPr/>
        <w:drawing>
          <wp:inline distT="0" distB="0" distL="0" distR="0">
            <wp:extent cx="5461000" cy="88900"/>
            <wp:effectExtent l="0" t="0" r="0" b="0"/>
            <wp:docPr id="1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4"/>
                    <pic:cNvPicPr>
                      <a:picLocks noChangeAspect="1" noChangeArrowheads="1"/>
                    </pic:cNvPicPr>
                  </pic:nvPicPr>
                  <pic:blipFill>
                    <a:blip r:embed="rId24"/>
                    <a:stretch>
                      <a:fillRect/>
                    </a:stretch>
                  </pic:blipFill>
                  <pic:spPr bwMode="auto">
                    <a:xfrm>
                      <a:off x="0" y="0"/>
                      <a:ext cx="5461000" cy="88900"/>
                    </a:xfrm>
                    <a:prstGeom prst="rect">
                      <a:avLst/>
                    </a:prstGeom>
                    <a:noFill/>
                  </pic:spPr>
                </pic:pic>
              </a:graphicData>
            </a:graphic>
          </wp:inline>
        </w:drawing>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rPr>
          <w:sz w:val="24"/>
          <w:szCs w:val="24"/>
        </w:rPr>
      </w:pPr>
      <w:r>
        <w:rPr>
          <w:rFonts w:cs="Arial" w:ascii="Arial" w:hAnsi="Arial"/>
          <w:b/>
          <w:color w:themeColor="text1" w:val="000000"/>
          <w:sz w:val="24"/>
          <w:szCs w:val="24"/>
        </w:rPr>
        <w:t>X POSTANOWIENIA KOŃCOWE</w:t>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rPr>
          <w:sz w:val="24"/>
          <w:szCs w:val="24"/>
        </w:rPr>
      </w:pPr>
      <w:r>
        <w:rPr/>
        <w:drawing>
          <wp:inline distT="0" distB="0" distL="0" distR="0">
            <wp:extent cx="5461000" cy="88900"/>
            <wp:effectExtent l="0" t="0" r="0" b="0"/>
            <wp:docPr id="20"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13"/>
                    <pic:cNvPicPr>
                      <a:picLocks noChangeAspect="1" noChangeArrowheads="1"/>
                    </pic:cNvPicPr>
                  </pic:nvPicPr>
                  <pic:blipFill>
                    <a:blip r:embed="rId25"/>
                    <a:stretch>
                      <a:fillRect/>
                    </a:stretch>
                  </pic:blipFill>
                  <pic:spPr bwMode="auto">
                    <a:xfrm>
                      <a:off x="0" y="0"/>
                      <a:ext cx="5461000" cy="88900"/>
                    </a:xfrm>
                    <a:prstGeom prst="rect">
                      <a:avLst/>
                    </a:prstGeom>
                    <a:noFill/>
                  </pic:spPr>
                </pic:pic>
              </a:graphicData>
            </a:graphic>
          </wp:inline>
        </w:drawing>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rPr>
          <w:rFonts w:ascii="Arial" w:hAnsi="Arial" w:cs="Arial"/>
          <w:color w:themeColor="text1" w:val="000000"/>
          <w:sz w:val="24"/>
          <w:szCs w:val="24"/>
        </w:rPr>
      </w:pPr>
      <w:r>
        <w:rPr>
          <w:rFonts w:cs="Arial" w:ascii="Arial" w:hAnsi="Arial"/>
          <w:color w:themeColor="text1" w:val="000000"/>
          <w:sz w:val="24"/>
          <w:szCs w:val="24"/>
        </w:rPr>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jc w:val="both"/>
        <w:rPr>
          <w:sz w:val="24"/>
          <w:szCs w:val="24"/>
        </w:rPr>
      </w:pPr>
      <w:r>
        <w:rPr>
          <w:rFonts w:cs="Arial" w:ascii="Arial" w:hAnsi="Arial"/>
          <w:color w:themeColor="text1" w:val="000000"/>
          <w:sz w:val="24"/>
          <w:szCs w:val="24"/>
        </w:rPr>
        <w:t xml:space="preserve">1. Sprawy nieuregulowane niniejszym Regulaminem rozstrzygane są przez Zarządy Operatorów. </w:t>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spacing w:before="0" w:after="0"/>
        <w:jc w:val="both"/>
        <w:rPr>
          <w:sz w:val="24"/>
          <w:szCs w:val="24"/>
        </w:rPr>
      </w:pPr>
      <w:r>
        <w:rPr>
          <w:rFonts w:cs="Arial" w:ascii="Arial" w:hAnsi="Arial"/>
          <w:color w:themeColor="text1" w:val="000000"/>
          <w:sz w:val="24"/>
          <w:szCs w:val="24"/>
        </w:rPr>
        <w:t xml:space="preserve">2. Ostateczna interpretacja Regulaminu leży w kompetencji Zarządów Operatorów. </w:t>
      </w:r>
    </w:p>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8708" w:leader="none"/>
        </w:tabs>
        <w:jc w:val="both"/>
        <w:rPr>
          <w:sz w:val="24"/>
          <w:szCs w:val="24"/>
        </w:rPr>
      </w:pPr>
      <w:r>
        <w:rPr>
          <w:rFonts w:cs="Arial" w:ascii="Arial" w:hAnsi="Arial"/>
          <w:color w:themeColor="text1" w:val="000000"/>
          <w:sz w:val="24"/>
          <w:szCs w:val="24"/>
        </w:rPr>
        <w:t>3. Zapisy niniejszego Regulaminu mogą ulec zmianie.</w:t>
      </w:r>
    </w:p>
    <w:p>
      <w:pPr>
        <w:pStyle w:val="Normal"/>
        <w:jc w:val="both"/>
        <w:rPr>
          <w:sz w:val="24"/>
          <w:szCs w:val="24"/>
        </w:rPr>
      </w:pPr>
      <w:r>
        <w:rPr>
          <w:rFonts w:cs="Arial" w:ascii="Arial" w:hAnsi="Arial"/>
          <w:sz w:val="24"/>
          <w:szCs w:val="24"/>
        </w:rPr>
        <w:t xml:space="preserve">4. Operatorzy zastrzegają sobie możliwość zmiany postanowień regulaminu bez podania przyczyny, a także zamknięcia konkursów w dowolnym momencie bez rozstrzygnięcia. W takim przypadku wnioskodawcom nie przysługują żadne roszczenia z tytułu przygotowania i złożenia wniosków. Sytuacja taka dotyczyć może w szczególności wystąpienia siły wyższej, klęsk żywiołowych itp., a także wypowiedzenia umowy operatorom przez Narodowy Instytut Wolności - Centrum Rozwoju Społeczeństwa Obywatelskiego. </w:t>
      </w:r>
    </w:p>
    <w:p>
      <w:pPr>
        <w:pStyle w:val="Normal"/>
        <w:spacing w:before="0" w:after="200"/>
        <w:jc w:val="both"/>
        <w:rPr>
          <w:sz w:val="24"/>
          <w:szCs w:val="24"/>
        </w:rPr>
      </w:pPr>
      <w:r>
        <w:rPr>
          <w:rFonts w:cs="Arial" w:ascii="Arial" w:hAnsi="Arial"/>
          <w:color w:themeColor="text1" w:val="000000"/>
          <w:sz w:val="24"/>
          <w:szCs w:val="24"/>
          <w:shd w:fill="FFFFFF" w:val="clear"/>
        </w:rPr>
        <w:t xml:space="preserve">5. Regulamin wchodzi w życie z dniem </w:t>
      </w:r>
      <w:r>
        <w:rPr>
          <w:rFonts w:cs="Arial" w:ascii="Arial" w:hAnsi="Arial"/>
          <w:color w:themeColor="text1" w:val="000000"/>
          <w:sz w:val="24"/>
          <w:szCs w:val="24"/>
          <w:shd w:fill="auto" w:val="clear"/>
        </w:rPr>
        <w:t>0</w:t>
      </w:r>
      <w:r>
        <w:rPr>
          <w:rFonts w:cs="Arial" w:ascii="Arial" w:hAnsi="Arial"/>
          <w:color w:themeColor="text1" w:val="000000"/>
          <w:sz w:val="24"/>
          <w:szCs w:val="24"/>
          <w:shd w:fill="auto" w:val="clear"/>
        </w:rPr>
        <w:t>4</w:t>
      </w:r>
      <w:r>
        <w:rPr>
          <w:rFonts w:cs="Arial" w:ascii="Arial" w:hAnsi="Arial"/>
          <w:color w:themeColor="text1" w:val="000000"/>
          <w:sz w:val="24"/>
          <w:szCs w:val="24"/>
          <w:shd w:fill="auto" w:val="clear"/>
        </w:rPr>
        <w:t xml:space="preserve">.09.2026 r. </w:t>
      </w:r>
    </w:p>
    <w:p>
      <w:pPr>
        <w:pStyle w:val="Normal"/>
        <w:spacing w:before="0" w:after="200"/>
        <w:jc w:val="both"/>
        <w:rPr>
          <w:sz w:val="24"/>
          <w:szCs w:val="24"/>
          <w:highlight w:val="none"/>
          <w:shd w:fill="auto" w:val="clear"/>
        </w:rPr>
      </w:pPr>
      <w:r>
        <w:rPr>
          <w:sz w:val="24"/>
          <w:szCs w:val="24"/>
          <w:shd w:fill="auto" w:val="clear"/>
        </w:rPr>
      </w:r>
    </w:p>
    <w:p>
      <w:pPr>
        <w:pStyle w:val="Normal"/>
        <w:spacing w:before="0" w:after="200"/>
        <w:jc w:val="both"/>
        <w:rPr>
          <w:sz w:val="24"/>
          <w:szCs w:val="24"/>
          <w:highlight w:val="none"/>
          <w:shd w:fill="FFFF00" w:val="clear"/>
        </w:rPr>
      </w:pPr>
      <w:r>
        <w:rPr>
          <w:sz w:val="24"/>
          <w:szCs w:val="24"/>
          <w:shd w:fill="FFFF00" w:val="clear"/>
        </w:rPr>
      </w:r>
    </w:p>
    <w:p>
      <w:pPr>
        <w:pStyle w:val="Normal"/>
        <w:spacing w:before="0" w:after="200"/>
        <w:jc w:val="both"/>
        <w:rPr>
          <w:sz w:val="24"/>
          <w:szCs w:val="24"/>
          <w:highlight w:val="none"/>
          <w:shd w:fill="FFFF00" w:val="clear"/>
        </w:rPr>
      </w:pPr>
      <w:r>
        <w:rPr>
          <w:sz w:val="24"/>
          <w:szCs w:val="24"/>
          <w:shd w:fill="FFFF00" w:val="clear"/>
        </w:rPr>
      </w:r>
    </w:p>
    <w:p>
      <w:pPr>
        <w:pStyle w:val="Normal"/>
        <w:spacing w:before="0" w:after="200"/>
        <w:jc w:val="both"/>
        <w:rPr>
          <w:sz w:val="24"/>
          <w:szCs w:val="24"/>
          <w:highlight w:val="none"/>
          <w:shd w:fill="FFFF00" w:val="clear"/>
        </w:rPr>
      </w:pPr>
      <w:r>
        <w:rPr>
          <w:sz w:val="24"/>
          <w:szCs w:val="24"/>
          <w:shd w:fill="FFFF00" w:val="clear"/>
        </w:rPr>
      </w:r>
    </w:p>
    <w:p>
      <w:pPr>
        <w:pStyle w:val="Normal"/>
        <w:spacing w:before="0" w:after="200"/>
        <w:jc w:val="both"/>
        <w:rPr>
          <w:sz w:val="24"/>
          <w:szCs w:val="24"/>
          <w:highlight w:val="none"/>
          <w:shd w:fill="FFFF00" w:val="clear"/>
        </w:rPr>
      </w:pPr>
      <w:r>
        <w:rPr>
          <w:sz w:val="24"/>
          <w:szCs w:val="24"/>
          <w:shd w:fill="FFFF00" w:val="clear"/>
        </w:rPr>
      </w:r>
    </w:p>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276" w:right="1416" w:gutter="0" w:header="0" w:top="2360" w:footer="708" w:bottom="1417"/>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ucida Grande">
    <w:charset w:val="ee"/>
    <w:family w:val="roman"/>
    <w:pitch w:val="variable"/>
  </w:font>
  <w:font w:name="Calibri Light">
    <w:charset w:val="ee"/>
    <w:family w:val="swiss"/>
    <w:pitch w:val="variable"/>
  </w:font>
  <w:font w:name="Cambria">
    <w:charset w:val="ee"/>
    <w:family w:val="roman"/>
    <w:pitch w:val="variable"/>
  </w:font>
  <w:font w:name="Tahoma">
    <w:charset w:val="ee"/>
    <w:family w:val="swiss"/>
    <w:pitch w:val="variable"/>
  </w:font>
  <w:font w:name="Courier New">
    <w:charset w:val="ee"/>
    <w:family w:val="roman"/>
    <w:pitch w:val="variable"/>
  </w:font>
  <w:font w:name="Wingdings">
    <w:charset w:val="02"/>
    <w:family w:val="roman"/>
    <w:pitch w:val="variable"/>
  </w:font>
  <w:font w:name="OpenSymbol">
    <w:altName w:val="Arial Unicode MS"/>
    <w:charset w:val="02"/>
    <w:family w:val="roman"/>
    <w:pitch w:val="variable"/>
  </w:font>
  <w:font w:name="Liberation Sans">
    <w:altName w:val="Arial"/>
    <w:charset w:val="ee"/>
    <w:family w:val="swiss"/>
    <w:pitch w:val="variable"/>
  </w:font>
  <w:font w:name="Calibri">
    <w:charset w:val="ee"/>
    <w:family w:val="swiss"/>
    <w:pitch w:val="variable"/>
  </w:font>
  <w:font w:name="Arial">
    <w:charset w:val="ee"/>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1"/>
      <w:tabs>
        <w:tab w:val="left" w:pos="8708" w:leader="none"/>
      </w:tabs>
      <w:jc w:val="right"/>
      <w:rPr>
        <w:rFonts w:ascii="Times New Roman" w:hAnsi="Times New Roman" w:eastAsia="Times New Roman"/>
        <w:color w:val="auto"/>
        <w:sz w:val="20"/>
      </w:rPr>
    </w:pPr>
    <w:r>
      <w:rPr/>
      <w:fldChar w:fldCharType="begin"/>
    </w:r>
    <w:r>
      <w:rPr/>
      <w:instrText xml:space="preserve"> PAGE </w:instrText>
    </w:r>
    <w:r>
      <w:rPr/>
      <w:fldChar w:fldCharType="separate"/>
    </w:r>
    <w:r>
      <w:rPr/>
      <w:t>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1"/>
      <w:tabs>
        <w:tab w:val="left" w:pos="8708" w:leader="none"/>
      </w:tabs>
      <w:jc w:val="right"/>
      <w:rPr>
        <w:rFonts w:ascii="Times New Roman" w:hAnsi="Times New Roman" w:eastAsia="Times New Roman"/>
        <w:color w:val="auto"/>
        <w:sz w:val="20"/>
      </w:rPr>
    </w:pPr>
    <w:r>
      <w:rPr/>
      <w:fldChar w:fldCharType="begin"/>
    </w:r>
    <w:r>
      <w:rPr/>
      <w:instrText xml:space="preserve"> PAGE </w:instrText>
    </w:r>
    <w:r>
      <w:rPr/>
      <w:fldChar w:fldCharType="separate"/>
    </w:r>
    <w:r>
      <w:rPr/>
      <w:t>27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opka1"/>
      <w:tabs>
        <w:tab w:val="left" w:pos="8708" w:leader="none"/>
      </w:tabs>
      <w:jc w:val="right"/>
      <w:rPr>
        <w:rFonts w:ascii="Times New Roman" w:hAnsi="Times New Roman" w:eastAsia="Times New Roman"/>
        <w:color w:val="auto"/>
        <w:sz w:val="20"/>
      </w:rPr>
    </w:pPr>
    <w:r>
      <w:rPr/>
      <w:fldChar w:fldCharType="begin"/>
    </w:r>
    <w:r>
      <w:rPr/>
      <w:instrText xml:space="preserve"> PAGE </w:instrText>
    </w:r>
    <w:r>
      <w:rPr/>
      <w:fldChar w:fldCharType="separate"/>
    </w:r>
    <w:r>
      <w:rPr/>
      <w:t>27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agwek1"/>
      <w:tabs>
        <w:tab w:val="clear" w:pos="4536"/>
        <w:tab w:val="clear" w:pos="9072"/>
        <w:tab w:val="left" w:pos="8708" w:leader="none"/>
      </w:tabs>
      <w:rPr>
        <w:rFonts w:ascii="Times New Roman" w:hAnsi="Times New Roman" w:eastAsia="Times New Roman"/>
        <w:color w:val="auto"/>
        <w:sz w:val="20"/>
      </w:rPr>
    </w:pPr>
    <w:r>
      <w:drawing>
        <wp:anchor distT="0" distB="0" distL="0" distR="0" simplePos="0" relativeHeight="0" behindDoc="1" locked="0" layoutInCell="1" allowOverlap="1">
          <wp:simplePos x="0" y="0"/>
          <wp:positionH relativeFrom="page">
            <wp:posOffset>848360</wp:posOffset>
          </wp:positionH>
          <wp:positionV relativeFrom="page">
            <wp:posOffset>-121920</wp:posOffset>
          </wp:positionV>
          <wp:extent cx="6057900" cy="1320800"/>
          <wp:effectExtent l="0" t="0" r="0" b="0"/>
          <wp:wrapNone/>
          <wp:docPr id="21"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17"/>
                  <pic:cNvPicPr>
                    <a:picLocks noChangeAspect="1" noChangeArrowheads="1"/>
                  </pic:cNvPicPr>
                </pic:nvPicPr>
                <pic:blipFill>
                  <a:blip r:embed="rId1"/>
                  <a:stretch>
                    <a:fillRect/>
                  </a:stretch>
                </pic:blipFill>
                <pic:spPr bwMode="auto">
                  <a:xfrm>
                    <a:off x="0" y="0"/>
                    <a:ext cx="6057900" cy="1320800"/>
                  </a:xfrm>
                  <a:prstGeom prst="rect">
                    <a:avLst/>
                  </a:prstGeom>
                </pic:spPr>
              </pic:pic>
            </a:graphicData>
          </a:graphic>
        </wp:anchor>
      </w:drawing>
    </w:r>
    <w:r>
      <w:rPr/>
      <w:b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agwek1"/>
      <w:tabs>
        <w:tab w:val="clear" w:pos="4536"/>
        <w:tab w:val="clear" w:pos="9072"/>
        <w:tab w:val="left" w:pos="8708" w:leader="none"/>
      </w:tabs>
      <w:rPr>
        <w:rFonts w:ascii="Times New Roman" w:hAnsi="Times New Roman" w:eastAsia="Times New Roman"/>
        <w:color w:val="auto"/>
        <w:sz w:val="20"/>
      </w:rPr>
    </w:pPr>
    <w:r>
      <w:rPr/>
      <w:drawing>
        <wp:inline distT="0" distB="0" distL="0" distR="0">
          <wp:extent cx="5847080" cy="2562860"/>
          <wp:effectExtent l="0" t="0" r="0" b="0"/>
          <wp:docPr id="22" name="Obraz22" descr="Obraz zawierający tekst, wizytówka,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22" descr="Obraz zawierający tekst, wizytówka, Czcionka, zrzut ekranu&#10;&#10;Zawartość wygenerowana przez AI może być niepoprawna."/>
                  <pic:cNvPicPr>
                    <a:picLocks noChangeAspect="1" noChangeArrowheads="1"/>
                  </pic:cNvPicPr>
                </pic:nvPicPr>
                <pic:blipFill>
                  <a:blip r:embed="rId1"/>
                  <a:stretch>
                    <a:fillRect/>
                  </a:stretch>
                </pic:blipFill>
                <pic:spPr bwMode="auto">
                  <a:xfrm>
                    <a:off x="0" y="0"/>
                    <a:ext cx="5847080" cy="256286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agwek1"/>
      <w:tabs>
        <w:tab w:val="clear" w:pos="4536"/>
        <w:tab w:val="clear" w:pos="9072"/>
        <w:tab w:val="left" w:pos="8708" w:leader="none"/>
      </w:tabs>
      <w:rPr>
        <w:rFonts w:ascii="Times New Roman" w:hAnsi="Times New Roman" w:eastAsia="Times New Roman"/>
        <w:color w:val="auto"/>
        <w:sz w:val="20"/>
      </w:rPr>
    </w:pPr>
    <w:r>
      <w:rPr/>
      <w:drawing>
        <wp:inline distT="0" distB="0" distL="0" distR="0">
          <wp:extent cx="5847080" cy="2562860"/>
          <wp:effectExtent l="0" t="0" r="0" b="0"/>
          <wp:docPr id="23" name="Obraz22" descr="Obraz zawierający tekst, wizytówka,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22" descr="Obraz zawierający tekst, wizytówka, Czcionka, zrzut ekranu&#10;&#10;Zawartość wygenerowana przez AI może być niepoprawna."/>
                  <pic:cNvPicPr>
                    <a:picLocks noChangeAspect="1" noChangeArrowheads="1"/>
                  </pic:cNvPicPr>
                </pic:nvPicPr>
                <pic:blipFill>
                  <a:blip r:embed="rId1"/>
                  <a:stretch>
                    <a:fillRect/>
                  </a:stretch>
                </pic:blipFill>
                <pic:spPr bwMode="auto">
                  <a:xfrm>
                    <a:off x="0" y="0"/>
                    <a:ext cx="5847080" cy="256286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isLgl/>
      <w:lvlText w:val="%1."/>
      <w:lvlJc w:val="left"/>
      <w:pPr>
        <w:tabs>
          <w:tab w:val="num" w:pos="0"/>
        </w:tabs>
        <w:ind w:left="0" w:hanging="0"/>
      </w:pPr>
      <w:rPr>
        <w:color w:val="000000"/>
        <w:sz w:val="24"/>
        <w:szCs w:val="24"/>
      </w:rPr>
    </w:lvl>
    <w:lvl w:ilvl="1">
      <w:start w:val="1"/>
      <w:numFmt w:val="lowerLetter"/>
      <w:suff w:val="nothing"/>
      <w:lvlText w:val="%2."/>
      <w:lvlJc w:val="left"/>
      <w:pPr>
        <w:tabs>
          <w:tab w:val="num" w:pos="0"/>
        </w:tabs>
        <w:ind w:left="-360" w:firstLine="1080"/>
      </w:pPr>
      <w:rPr>
        <w:color w:val="000000"/>
        <w:sz w:val="22"/>
      </w:rPr>
    </w:lvl>
    <w:lvl w:ilvl="2">
      <w:start w:val="1"/>
      <w:numFmt w:val="lowerRoman"/>
      <w:suff w:val="nothing"/>
      <w:lvlText w:val="%3."/>
      <w:lvlJc w:val="left"/>
      <w:pPr>
        <w:tabs>
          <w:tab w:val="num" w:pos="0"/>
        </w:tabs>
        <w:ind w:left="-360" w:firstLine="1800"/>
      </w:pPr>
      <w:rPr>
        <w:color w:val="000000"/>
        <w:sz w:val="22"/>
      </w:rPr>
    </w:lvl>
    <w:lvl w:ilvl="3">
      <w:start w:val="1"/>
      <w:numFmt w:val="decimal"/>
      <w:isLgl/>
      <w:suff w:val="nothing"/>
      <w:lvlText w:val="%4."/>
      <w:lvlJc w:val="left"/>
      <w:pPr>
        <w:tabs>
          <w:tab w:val="num" w:pos="0"/>
        </w:tabs>
        <w:ind w:left="-360" w:firstLine="2520"/>
      </w:pPr>
      <w:rPr>
        <w:color w:val="000000"/>
        <w:sz w:val="24"/>
      </w:rPr>
    </w:lvl>
    <w:lvl w:ilvl="4">
      <w:start w:val="1"/>
      <w:numFmt w:val="lowerLetter"/>
      <w:suff w:val="nothing"/>
      <w:lvlText w:val="%5."/>
      <w:lvlJc w:val="left"/>
      <w:pPr>
        <w:tabs>
          <w:tab w:val="num" w:pos="0"/>
        </w:tabs>
        <w:ind w:left="-360" w:firstLine="3240"/>
      </w:pPr>
      <w:rPr>
        <w:color w:val="000000"/>
        <w:sz w:val="22"/>
      </w:rPr>
    </w:lvl>
    <w:lvl w:ilvl="5">
      <w:start w:val="1"/>
      <w:numFmt w:val="lowerRoman"/>
      <w:suff w:val="nothing"/>
      <w:lvlText w:val="%6."/>
      <w:lvlJc w:val="left"/>
      <w:pPr>
        <w:tabs>
          <w:tab w:val="num" w:pos="0"/>
        </w:tabs>
        <w:ind w:left="-360" w:firstLine="3960"/>
      </w:pPr>
      <w:rPr>
        <w:color w:val="000000"/>
        <w:sz w:val="22"/>
      </w:rPr>
    </w:lvl>
    <w:lvl w:ilvl="6">
      <w:start w:val="1"/>
      <w:numFmt w:val="decimal"/>
      <w:isLgl/>
      <w:suff w:val="nothing"/>
      <w:lvlText w:val="%7."/>
      <w:lvlJc w:val="left"/>
      <w:pPr>
        <w:tabs>
          <w:tab w:val="num" w:pos="0"/>
        </w:tabs>
        <w:ind w:left="-360" w:firstLine="4680"/>
      </w:pPr>
      <w:rPr>
        <w:color w:val="000000"/>
        <w:sz w:val="22"/>
      </w:rPr>
    </w:lvl>
    <w:lvl w:ilvl="7">
      <w:start w:val="1"/>
      <w:numFmt w:val="lowerLetter"/>
      <w:suff w:val="nothing"/>
      <w:lvlText w:val="%8."/>
      <w:lvlJc w:val="left"/>
      <w:pPr>
        <w:tabs>
          <w:tab w:val="num" w:pos="0"/>
        </w:tabs>
        <w:ind w:left="-360" w:firstLine="5400"/>
      </w:pPr>
      <w:rPr>
        <w:color w:val="000000"/>
        <w:sz w:val="22"/>
      </w:rPr>
    </w:lvl>
    <w:lvl w:ilvl="8">
      <w:start w:val="1"/>
      <w:numFmt w:val="lowerRoman"/>
      <w:suff w:val="nothing"/>
      <w:lvlText w:val="%9."/>
      <w:lvlJc w:val="left"/>
      <w:pPr>
        <w:tabs>
          <w:tab w:val="num" w:pos="0"/>
        </w:tabs>
        <w:ind w:left="-360" w:firstLine="6120"/>
      </w:pPr>
      <w:rPr>
        <w:color w:val="000000"/>
        <w:sz w:val="22"/>
      </w:rPr>
    </w:lvl>
  </w:abstractNum>
  <w:abstractNum w:abstractNumId="2">
    <w:lvl w:ilvl="0">
      <w:start w:val="1"/>
      <w:numFmt w:val="lowerLetter"/>
      <w:lvlText w:val="%1)"/>
      <w:lvlJc w:val="left"/>
      <w:pPr>
        <w:tabs>
          <w:tab w:val="num" w:pos="0"/>
        </w:tabs>
        <w:ind w:left="1080" w:hanging="360"/>
      </w:pPr>
      <w:rPr>
        <w:b w:val="false"/>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340" w:hanging="360"/>
      </w:pPr>
      <w:rPr>
        <w:rFonts w:ascii="Arial" w:hAnsi="Arial" w:eastAsia="ヒラギノ角ゴ Pro W3" w:cs="Arial"/>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isLgl/>
      <w:lvlText w:val="%1."/>
      <w:lvlJc w:val="left"/>
      <w:pPr>
        <w:tabs>
          <w:tab w:val="num" w:pos="142"/>
        </w:tabs>
        <w:ind w:left="142" w:hanging="0"/>
      </w:pPr>
      <w:rPr>
        <w:color w:val="000000"/>
        <w:sz w:val="24"/>
      </w:rPr>
    </w:lvl>
    <w:lvl w:ilvl="1">
      <w:start w:val="1"/>
      <w:numFmt w:val="lowerLetter"/>
      <w:suff w:val="nothing"/>
      <w:lvlText w:val="%2."/>
      <w:lvlJc w:val="left"/>
      <w:pPr>
        <w:tabs>
          <w:tab w:val="num" w:pos="0"/>
        </w:tabs>
        <w:ind w:left="0" w:firstLine="1080"/>
      </w:pPr>
      <w:rPr>
        <w:color w:val="000000"/>
        <w:sz w:val="22"/>
      </w:rPr>
    </w:lvl>
    <w:lvl w:ilvl="2">
      <w:start w:val="1"/>
      <w:numFmt w:val="lowerRoman"/>
      <w:suff w:val="nothing"/>
      <w:lvlText w:val="%3."/>
      <w:lvlJc w:val="left"/>
      <w:pPr>
        <w:tabs>
          <w:tab w:val="num" w:pos="0"/>
        </w:tabs>
        <w:ind w:left="0" w:firstLine="1800"/>
      </w:pPr>
      <w:rPr>
        <w:color w:val="000000"/>
        <w:sz w:val="22"/>
      </w:rPr>
    </w:lvl>
    <w:lvl w:ilvl="3">
      <w:start w:val="1"/>
      <w:numFmt w:val="decimal"/>
      <w:isLgl/>
      <w:suff w:val="nothing"/>
      <w:lvlText w:val="%4."/>
      <w:lvlJc w:val="left"/>
      <w:pPr>
        <w:tabs>
          <w:tab w:val="num" w:pos="0"/>
        </w:tabs>
        <w:ind w:left="0" w:firstLine="2520"/>
      </w:pPr>
      <w:rPr>
        <w:color w:val="000000"/>
        <w:sz w:val="22"/>
      </w:rPr>
    </w:lvl>
    <w:lvl w:ilvl="4">
      <w:start w:val="1"/>
      <w:numFmt w:val="lowerLetter"/>
      <w:suff w:val="nothing"/>
      <w:lvlText w:val="%5."/>
      <w:lvlJc w:val="left"/>
      <w:pPr>
        <w:tabs>
          <w:tab w:val="num" w:pos="0"/>
        </w:tabs>
        <w:ind w:left="0" w:firstLine="3240"/>
      </w:pPr>
      <w:rPr>
        <w:color w:val="000000"/>
        <w:sz w:val="22"/>
      </w:rPr>
    </w:lvl>
    <w:lvl w:ilvl="5">
      <w:start w:val="1"/>
      <w:numFmt w:val="lowerRoman"/>
      <w:suff w:val="nothing"/>
      <w:lvlText w:val="%6."/>
      <w:lvlJc w:val="left"/>
      <w:pPr>
        <w:tabs>
          <w:tab w:val="num" w:pos="0"/>
        </w:tabs>
        <w:ind w:left="0" w:firstLine="3960"/>
      </w:pPr>
      <w:rPr>
        <w:color w:val="000000"/>
        <w:sz w:val="22"/>
      </w:rPr>
    </w:lvl>
    <w:lvl w:ilvl="6">
      <w:start w:val="1"/>
      <w:numFmt w:val="decimal"/>
      <w:isLgl/>
      <w:suff w:val="nothing"/>
      <w:lvlText w:val="%7."/>
      <w:lvlJc w:val="left"/>
      <w:pPr>
        <w:tabs>
          <w:tab w:val="num" w:pos="0"/>
        </w:tabs>
        <w:ind w:left="0" w:firstLine="4680"/>
      </w:pPr>
      <w:rPr>
        <w:color w:val="000000"/>
        <w:sz w:val="22"/>
      </w:rPr>
    </w:lvl>
    <w:lvl w:ilvl="7">
      <w:start w:val="1"/>
      <w:numFmt w:val="lowerLetter"/>
      <w:suff w:val="nothing"/>
      <w:lvlText w:val="%8."/>
      <w:lvlJc w:val="left"/>
      <w:pPr>
        <w:tabs>
          <w:tab w:val="num" w:pos="0"/>
        </w:tabs>
        <w:ind w:left="0" w:firstLine="5400"/>
      </w:pPr>
      <w:rPr>
        <w:color w:val="000000"/>
        <w:sz w:val="22"/>
      </w:rPr>
    </w:lvl>
    <w:lvl w:ilvl="8">
      <w:start w:val="1"/>
      <w:numFmt w:val="lowerRoman"/>
      <w:suff w:val="nothing"/>
      <w:lvlText w:val="%9."/>
      <w:lvlJc w:val="left"/>
      <w:pPr>
        <w:tabs>
          <w:tab w:val="num" w:pos="0"/>
        </w:tabs>
        <w:ind w:left="0" w:firstLine="6120"/>
      </w:pPr>
      <w:rPr>
        <w:color w:val="000000"/>
        <w:sz w:val="22"/>
      </w:rPr>
    </w:lvl>
  </w:abstractNum>
  <w:abstractNum w:abstractNumId="5">
    <w:lvl w:ilvl="0">
      <w:start w:val="1"/>
      <w:numFmt w:val="decimal"/>
      <w:lvlText w:val="%1)"/>
      <w:lvlJc w:val="left"/>
      <w:pPr>
        <w:tabs>
          <w:tab w:val="num" w:pos="0"/>
        </w:tabs>
        <w:ind w:left="2880" w:hanging="360"/>
      </w:pPr>
      <w:rPr/>
    </w:lvl>
    <w:lvl w:ilvl="1">
      <w:start w:val="1"/>
      <w:numFmt w:val="lowerLetter"/>
      <w:lvlText w:val="%2."/>
      <w:lvlJc w:val="left"/>
      <w:pPr>
        <w:tabs>
          <w:tab w:val="num" w:pos="0"/>
        </w:tabs>
        <w:ind w:left="3600" w:hanging="360"/>
      </w:pPr>
      <w:rPr/>
    </w:lvl>
    <w:lvl w:ilvl="2">
      <w:start w:val="1"/>
      <w:numFmt w:val="lowerRoman"/>
      <w:lvlText w:val="%3."/>
      <w:lvlJc w:val="right"/>
      <w:pPr>
        <w:tabs>
          <w:tab w:val="num" w:pos="0"/>
        </w:tabs>
        <w:ind w:left="4320" w:hanging="180"/>
      </w:pPr>
      <w:rPr/>
    </w:lvl>
    <w:lvl w:ilvl="3">
      <w:start w:val="1"/>
      <w:numFmt w:val="decimal"/>
      <w:lvlText w:val="%4."/>
      <w:lvlJc w:val="left"/>
      <w:pPr>
        <w:tabs>
          <w:tab w:val="num" w:pos="0"/>
        </w:tabs>
        <w:ind w:left="5040" w:hanging="360"/>
      </w:pPr>
      <w:rPr/>
    </w:lvl>
    <w:lvl w:ilvl="4">
      <w:start w:val="1"/>
      <w:numFmt w:val="lowerLetter"/>
      <w:lvlText w:val="%5."/>
      <w:lvlJc w:val="left"/>
      <w:pPr>
        <w:tabs>
          <w:tab w:val="num" w:pos="0"/>
        </w:tabs>
        <w:ind w:left="5760" w:hanging="360"/>
      </w:pPr>
      <w:rPr/>
    </w:lvl>
    <w:lvl w:ilvl="5">
      <w:start w:val="1"/>
      <w:numFmt w:val="lowerRoman"/>
      <w:lvlText w:val="%6."/>
      <w:lvlJc w:val="right"/>
      <w:pPr>
        <w:tabs>
          <w:tab w:val="num" w:pos="0"/>
        </w:tabs>
        <w:ind w:left="6480" w:hanging="180"/>
      </w:pPr>
      <w:rPr/>
    </w:lvl>
    <w:lvl w:ilvl="6">
      <w:start w:val="1"/>
      <w:numFmt w:val="decimal"/>
      <w:lvlText w:val="%7."/>
      <w:lvlJc w:val="left"/>
      <w:pPr>
        <w:tabs>
          <w:tab w:val="num" w:pos="0"/>
        </w:tabs>
        <w:ind w:left="7200" w:hanging="360"/>
      </w:pPr>
      <w:rPr/>
    </w:lvl>
    <w:lvl w:ilvl="7">
      <w:start w:val="1"/>
      <w:numFmt w:val="lowerLetter"/>
      <w:lvlText w:val="%8."/>
      <w:lvlJc w:val="left"/>
      <w:pPr>
        <w:tabs>
          <w:tab w:val="num" w:pos="0"/>
        </w:tabs>
        <w:ind w:left="7920" w:hanging="360"/>
      </w:pPr>
      <w:rPr/>
    </w:lvl>
    <w:lvl w:ilvl="8">
      <w:start w:val="1"/>
      <w:numFmt w:val="lowerRoman"/>
      <w:lvlText w:val="%9."/>
      <w:lvlJc w:val="right"/>
      <w:pPr>
        <w:tabs>
          <w:tab w:val="num" w:pos="0"/>
        </w:tabs>
        <w:ind w:left="8640" w:hanging="180"/>
      </w:pPr>
      <w:rPr/>
    </w:lvl>
  </w:abstractNum>
  <w:abstractNum w:abstractNumId="6">
    <w:lvl w:ilvl="0">
      <w:start w:val="1"/>
      <w:numFmt w:val="decimal"/>
      <w:isLgl/>
      <w:lvlText w:val="%1."/>
      <w:lvlJc w:val="left"/>
      <w:pPr>
        <w:tabs>
          <w:tab w:val="num" w:pos="360"/>
        </w:tabs>
        <w:ind w:left="360" w:hanging="0"/>
      </w:pPr>
      <w:rPr>
        <w:color w:val="000000"/>
        <w:sz w:val="22"/>
      </w:rPr>
    </w:lvl>
    <w:lvl w:ilvl="1">
      <w:start w:val="1"/>
      <w:numFmt w:val="lowerLetter"/>
      <w:suff w:val="nothing"/>
      <w:lvlText w:val="%2."/>
      <w:lvlJc w:val="left"/>
      <w:pPr>
        <w:tabs>
          <w:tab w:val="num" w:pos="0"/>
        </w:tabs>
        <w:ind w:left="0" w:firstLine="1080"/>
      </w:pPr>
      <w:rPr>
        <w:color w:val="000000"/>
        <w:sz w:val="22"/>
      </w:rPr>
    </w:lvl>
    <w:lvl w:ilvl="2">
      <w:start w:val="1"/>
      <w:numFmt w:val="lowerRoman"/>
      <w:suff w:val="nothing"/>
      <w:lvlText w:val="%3."/>
      <w:lvlJc w:val="left"/>
      <w:pPr>
        <w:tabs>
          <w:tab w:val="num" w:pos="0"/>
        </w:tabs>
        <w:ind w:left="0" w:firstLine="1800"/>
      </w:pPr>
      <w:rPr>
        <w:color w:val="000000"/>
        <w:sz w:val="22"/>
      </w:rPr>
    </w:lvl>
    <w:lvl w:ilvl="3">
      <w:start w:val="1"/>
      <w:numFmt w:val="decimal"/>
      <w:isLgl/>
      <w:suff w:val="nothing"/>
      <w:lvlText w:val="%4."/>
      <w:lvlJc w:val="left"/>
      <w:pPr>
        <w:tabs>
          <w:tab w:val="num" w:pos="0"/>
        </w:tabs>
        <w:ind w:left="-1527" w:firstLine="2520"/>
      </w:pPr>
      <w:rPr>
        <w:color w:val="000000"/>
        <w:sz w:val="24"/>
      </w:rPr>
    </w:lvl>
    <w:lvl w:ilvl="4">
      <w:start w:val="1"/>
      <w:numFmt w:val="lowerLetter"/>
      <w:suff w:val="nothing"/>
      <w:lvlText w:val="%5."/>
      <w:lvlJc w:val="left"/>
      <w:pPr>
        <w:tabs>
          <w:tab w:val="num" w:pos="0"/>
        </w:tabs>
        <w:ind w:left="0" w:firstLine="3240"/>
      </w:pPr>
      <w:rPr>
        <w:color w:val="000000"/>
        <w:sz w:val="22"/>
      </w:rPr>
    </w:lvl>
    <w:lvl w:ilvl="5">
      <w:start w:val="1"/>
      <w:numFmt w:val="lowerRoman"/>
      <w:suff w:val="nothing"/>
      <w:lvlText w:val="%6."/>
      <w:lvlJc w:val="left"/>
      <w:pPr>
        <w:tabs>
          <w:tab w:val="num" w:pos="0"/>
        </w:tabs>
        <w:ind w:left="0" w:firstLine="3960"/>
      </w:pPr>
      <w:rPr>
        <w:color w:val="000000"/>
        <w:sz w:val="22"/>
      </w:rPr>
    </w:lvl>
    <w:lvl w:ilvl="6">
      <w:start w:val="1"/>
      <w:numFmt w:val="decimal"/>
      <w:isLgl/>
      <w:suff w:val="nothing"/>
      <w:lvlText w:val="%7."/>
      <w:lvlJc w:val="left"/>
      <w:pPr>
        <w:tabs>
          <w:tab w:val="num" w:pos="0"/>
        </w:tabs>
        <w:ind w:left="0" w:firstLine="4680"/>
      </w:pPr>
      <w:rPr>
        <w:color w:val="000000"/>
        <w:sz w:val="22"/>
      </w:rPr>
    </w:lvl>
    <w:lvl w:ilvl="7">
      <w:start w:val="1"/>
      <w:numFmt w:val="lowerLetter"/>
      <w:suff w:val="nothing"/>
      <w:lvlText w:val="%8."/>
      <w:lvlJc w:val="left"/>
      <w:pPr>
        <w:tabs>
          <w:tab w:val="num" w:pos="0"/>
        </w:tabs>
        <w:ind w:left="0" w:firstLine="5400"/>
      </w:pPr>
      <w:rPr>
        <w:color w:val="000000"/>
        <w:sz w:val="22"/>
      </w:rPr>
    </w:lvl>
    <w:lvl w:ilvl="8">
      <w:start w:val="1"/>
      <w:numFmt w:val="lowerRoman"/>
      <w:suff w:val="nothing"/>
      <w:lvlText w:val="%9."/>
      <w:lvlJc w:val="left"/>
      <w:pPr>
        <w:tabs>
          <w:tab w:val="num" w:pos="0"/>
        </w:tabs>
        <w:ind w:left="0" w:firstLine="6120"/>
      </w:pPr>
      <w:rPr>
        <w:color w:val="000000"/>
        <w:sz w:val="22"/>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lowerLetter"/>
      <w:lvlText w:val="%1)"/>
      <w:lvlJc w:val="left"/>
      <w:pPr>
        <w:tabs>
          <w:tab w:val="num" w:pos="360"/>
        </w:tabs>
        <w:ind w:left="360" w:hanging="0"/>
      </w:pPr>
      <w:rPr>
        <w:b w:val="false"/>
        <w:color w:val="000000"/>
        <w:sz w:val="24"/>
      </w:rPr>
    </w:lvl>
    <w:lvl w:ilvl="1">
      <w:start w:val="1"/>
      <w:numFmt w:val="bullet"/>
      <w:suff w:val="nothing"/>
      <w:lvlText w:val="o"/>
      <w:lvlJc w:val="left"/>
      <w:pPr>
        <w:tabs>
          <w:tab w:val="num" w:pos="0"/>
        </w:tabs>
        <w:ind w:left="0" w:firstLine="1080"/>
      </w:pPr>
      <w:rPr>
        <w:rFonts w:ascii="Courier New" w:hAnsi="Courier New" w:cs="Courier New" w:hint="default"/>
        <w:color w:val="000000"/>
        <w:sz w:val="22"/>
      </w:rPr>
    </w:lvl>
    <w:lvl w:ilvl="2">
      <w:start w:val="1"/>
      <w:numFmt w:val="bullet"/>
      <w:suff w:val="nothing"/>
      <w:lvlText w:val=""/>
      <w:lvlJc w:val="left"/>
      <w:pPr>
        <w:tabs>
          <w:tab w:val="num" w:pos="0"/>
        </w:tabs>
        <w:ind w:left="0" w:firstLine="1800"/>
      </w:pPr>
      <w:rPr>
        <w:rFonts w:ascii="Wingdings" w:hAnsi="Wingdings" w:cs="Wingdings" w:hint="default"/>
        <w:color w:val="000000"/>
        <w:sz w:val="22"/>
      </w:rPr>
    </w:lvl>
    <w:lvl w:ilvl="3">
      <w:start w:val="1"/>
      <w:numFmt w:val="bullet"/>
      <w:suff w:val="nothing"/>
      <w:lvlText w:val=""/>
      <w:lvlJc w:val="left"/>
      <w:pPr>
        <w:tabs>
          <w:tab w:val="num" w:pos="0"/>
        </w:tabs>
        <w:ind w:left="0" w:firstLine="2520"/>
      </w:pPr>
      <w:rPr>
        <w:rFonts w:ascii="Symbol" w:hAnsi="Symbol" w:cs="Symbol" w:hint="default"/>
        <w:color w:val="000000"/>
        <w:sz w:val="22"/>
      </w:rPr>
    </w:lvl>
    <w:lvl w:ilvl="4">
      <w:start w:val="1"/>
      <w:numFmt w:val="bullet"/>
      <w:suff w:val="nothing"/>
      <w:lvlText w:val="o"/>
      <w:lvlJc w:val="left"/>
      <w:pPr>
        <w:tabs>
          <w:tab w:val="num" w:pos="0"/>
        </w:tabs>
        <w:ind w:left="0" w:firstLine="3240"/>
      </w:pPr>
      <w:rPr>
        <w:rFonts w:ascii="Courier New" w:hAnsi="Courier New" w:cs="Courier New" w:hint="default"/>
        <w:color w:val="000000"/>
        <w:sz w:val="22"/>
      </w:rPr>
    </w:lvl>
    <w:lvl w:ilvl="5">
      <w:start w:val="1"/>
      <w:numFmt w:val="bullet"/>
      <w:suff w:val="nothing"/>
      <w:lvlText w:val=""/>
      <w:lvlJc w:val="left"/>
      <w:pPr>
        <w:tabs>
          <w:tab w:val="num" w:pos="0"/>
        </w:tabs>
        <w:ind w:left="0" w:firstLine="3960"/>
      </w:pPr>
      <w:rPr>
        <w:rFonts w:ascii="Wingdings" w:hAnsi="Wingdings" w:cs="Wingdings" w:hint="default"/>
        <w:color w:val="000000"/>
        <w:sz w:val="22"/>
      </w:rPr>
    </w:lvl>
    <w:lvl w:ilvl="6">
      <w:start w:val="1"/>
      <w:numFmt w:val="bullet"/>
      <w:suff w:val="nothing"/>
      <w:lvlText w:val=""/>
      <w:lvlJc w:val="left"/>
      <w:pPr>
        <w:tabs>
          <w:tab w:val="num" w:pos="0"/>
        </w:tabs>
        <w:ind w:left="0" w:firstLine="4680"/>
      </w:pPr>
      <w:rPr>
        <w:rFonts w:ascii="Symbol" w:hAnsi="Symbol" w:cs="Symbol" w:hint="default"/>
        <w:color w:val="000000"/>
        <w:sz w:val="22"/>
      </w:rPr>
    </w:lvl>
    <w:lvl w:ilvl="7">
      <w:start w:val="1"/>
      <w:numFmt w:val="bullet"/>
      <w:suff w:val="nothing"/>
      <w:lvlText w:val="o"/>
      <w:lvlJc w:val="left"/>
      <w:pPr>
        <w:tabs>
          <w:tab w:val="num" w:pos="0"/>
        </w:tabs>
        <w:ind w:left="0" w:firstLine="5400"/>
      </w:pPr>
      <w:rPr>
        <w:rFonts w:ascii="Courier New" w:hAnsi="Courier New" w:cs="Courier New" w:hint="default"/>
        <w:color w:val="000000"/>
        <w:sz w:val="22"/>
      </w:rPr>
    </w:lvl>
    <w:lvl w:ilvl="8">
      <w:start w:val="1"/>
      <w:numFmt w:val="bullet"/>
      <w:suff w:val="nothing"/>
      <w:lvlText w:val=""/>
      <w:lvlJc w:val="left"/>
      <w:pPr>
        <w:tabs>
          <w:tab w:val="num" w:pos="0"/>
        </w:tabs>
        <w:ind w:left="0" w:firstLine="6120"/>
      </w:pPr>
      <w:rPr>
        <w:rFonts w:ascii="Wingdings" w:hAnsi="Wingdings" w:cs="Wingdings" w:hint="default"/>
        <w:color w:val="000000"/>
        <w:sz w:val="22"/>
      </w:rPr>
    </w:lvl>
  </w:abstractNum>
  <w:abstractNum w:abstractNumId="9">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b w:val="false"/>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lowerLetter"/>
      <w:lvlText w:val="%1)"/>
      <w:lvlJc w:val="left"/>
      <w:pPr>
        <w:tabs>
          <w:tab w:val="num" w:pos="0"/>
        </w:tabs>
        <w:ind w:left="720" w:hanging="360"/>
      </w:pPr>
      <w:rPr>
        <w:b w:val="false"/>
      </w:rPr>
    </w:lvl>
    <w:lvl w:ilvl="1">
      <w:start w:val="1"/>
      <w:numFmt w:val="lowerLetter"/>
      <w:lvlText w:val="%2)"/>
      <w:lvlJc w:val="left"/>
      <w:pPr>
        <w:tabs>
          <w:tab w:val="num" w:pos="0"/>
        </w:tabs>
        <w:ind w:left="360" w:hanging="360"/>
      </w:pPr>
      <w:rPr>
        <w:b w:val="false"/>
        <w:strike w:val="false"/>
        <w:dstrike w:val="false"/>
      </w:rPr>
    </w:lvl>
    <w:lvl w:ilvl="2">
      <w:start w:val="3"/>
      <w:numFmt w:val="decimal"/>
      <w:lvlText w:val="%3."/>
      <w:lvlJc w:val="left"/>
      <w:pPr>
        <w:tabs>
          <w:tab w:val="num" w:pos="0"/>
        </w:tabs>
        <w:ind w:left="234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3"/>
      <w:numFmt w:val="decimal"/>
      <w:lvlText w:val="%1)"/>
      <w:lvlJc w:val="left"/>
      <w:pPr>
        <w:tabs>
          <w:tab w:val="num" w:pos="0"/>
        </w:tabs>
        <w:ind w:left="720" w:hanging="360"/>
      </w:pPr>
      <w:rPr>
        <w:b/>
        <w:color w:themeColor="text1"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4"/>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lowerLetter"/>
      <w:lvlText w:val="%1)"/>
      <w:lvlJc w:val="left"/>
      <w:pPr>
        <w:tabs>
          <w:tab w:val="num" w:pos="0"/>
        </w:tabs>
        <w:ind w:left="720" w:hanging="360"/>
      </w:pPr>
      <w:rPr>
        <w:color w:themeColor="text1"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embedSystemFonts/>
  <w:defaultTabStop w:val="720"/>
  <w:autoHyphenation w:val="true"/>
  <w:hyphenationZone w:val="0"/>
  <w:compat>
    <w:balanceSingleByteDoubleByteWidth/>
    <w:ulTrailSpace/>
    <w:doNotExpandShiftReturn/>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99"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uiPriority="99"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uiPriority="99"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1997"/>
    <w:pPr>
      <w:widowControl/>
      <w:suppressAutoHyphens w:val="true"/>
      <w:bidi w:val="0"/>
      <w:spacing w:lineRule="auto" w:line="276" w:before="0" w:after="200"/>
      <w:jc w:val="left"/>
    </w:pPr>
    <w:rPr>
      <w:rFonts w:ascii="Lucida Grande" w:hAnsi="Lucida Grande" w:eastAsia="ヒラギノ角ゴ Pro W3" w:cs="Times New Roman"/>
      <w:color w:val="000000"/>
      <w:kern w:val="0"/>
      <w:sz w:val="22"/>
      <w:szCs w:val="24"/>
      <w:lang w:val="pl-PL" w:eastAsia="en-US" w:bidi="ar-SA"/>
    </w:rPr>
  </w:style>
  <w:style w:type="paragraph" w:styleId="Heading1">
    <w:name w:val="heading 1"/>
    <w:basedOn w:val="Normal"/>
    <w:next w:val="Normal"/>
    <w:link w:val="Nagwek1Znak"/>
    <w:qFormat/>
    <w:locked/>
    <w:rsid w:val="00b31db9"/>
    <w:pPr>
      <w:keepNext w:val="true"/>
      <w:spacing w:before="240" w:after="60"/>
      <w:outlineLvl w:val="0"/>
    </w:pPr>
    <w:rPr>
      <w:rFonts w:ascii="Calibri Light" w:hAnsi="Calibri Light" w:eastAsia="Times New Roman"/>
      <w:b/>
      <w:bCs/>
      <w:kern w:val="2"/>
      <w:sz w:val="32"/>
      <w:szCs w:val="32"/>
    </w:rPr>
  </w:style>
  <w:style w:type="paragraph" w:styleId="Heading2">
    <w:name w:val="heading 2"/>
    <w:basedOn w:val="Normal"/>
    <w:next w:val="Normal"/>
    <w:link w:val="Nagwek2Znak"/>
    <w:unhideWhenUsed/>
    <w:qFormat/>
    <w:locked/>
    <w:rsid w:val="00b574a9"/>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Hipercze1" w:customStyle="1">
    <w:name w:val="Hiperłącze1"/>
    <w:qFormat/>
    <w:rsid w:val="008f1997"/>
    <w:rPr>
      <w:color w:val="002BE1"/>
      <w:sz w:val="22"/>
      <w:u w:val="single"/>
    </w:rPr>
  </w:style>
  <w:style w:type="character" w:styleId="Pogrubienie1" w:customStyle="1">
    <w:name w:val="Pogrubienie1"/>
    <w:qFormat/>
    <w:rsid w:val="008f1997"/>
    <w:rPr>
      <w:rFonts w:ascii="Lucida Grande" w:hAnsi="Lucida Grande" w:eastAsia="ヒラギノ角ゴ Pro W3"/>
      <w:b/>
      <w:i w:val="false"/>
      <w:color w:val="000000"/>
      <w:sz w:val="22"/>
    </w:rPr>
  </w:style>
  <w:style w:type="character" w:styleId="Nagwek1Znak" w:customStyle="1">
    <w:name w:val="Nagłówek 1 Znak"/>
    <w:qFormat/>
    <w:rsid w:val="00b31db9"/>
    <w:rPr>
      <w:rFonts w:ascii="Calibri Light" w:hAnsi="Calibri Light" w:eastAsia="Times New Roman" w:cs="Times New Roman"/>
      <w:b/>
      <w:bCs/>
      <w:color w:val="000000"/>
      <w:kern w:val="2"/>
      <w:sz w:val="32"/>
      <w:szCs w:val="32"/>
      <w:lang w:val="pl-PL" w:eastAsia="en-US"/>
    </w:rPr>
  </w:style>
  <w:style w:type="character" w:styleId="PodtytuZnak" w:customStyle="1">
    <w:name w:val="Podtytuł Znak"/>
    <w:qFormat/>
    <w:rsid w:val="00b31db9"/>
    <w:rPr>
      <w:rFonts w:ascii="Calibri Light" w:hAnsi="Calibri Light" w:eastAsia="Times New Roman" w:cs="Times New Roman"/>
      <w:color w:val="000000"/>
      <w:sz w:val="24"/>
      <w:szCs w:val="24"/>
      <w:lang w:val="pl-PL" w:eastAsia="en-US"/>
    </w:rPr>
  </w:style>
  <w:style w:type="character" w:styleId="TekstdymkaZnak" w:customStyle="1">
    <w:name w:val="Tekst dymka Znak"/>
    <w:link w:val="BalloonText"/>
    <w:qFormat/>
    <w:rsid w:val="00356134"/>
    <w:rPr>
      <w:rFonts w:ascii="Tahoma" w:hAnsi="Tahoma" w:eastAsia="ヒラギノ角ゴ Pro W3" w:cs="Tahoma"/>
      <w:color w:val="000000"/>
      <w:sz w:val="16"/>
      <w:szCs w:val="16"/>
      <w:lang w:val="pl-PL" w:eastAsia="en-US"/>
    </w:rPr>
  </w:style>
  <w:style w:type="character" w:styleId="TekstpodstawowyZnak" w:customStyle="1">
    <w:name w:val="Tekst podstawowy Znak"/>
    <w:qFormat/>
    <w:rsid w:val="00235f37"/>
    <w:rPr>
      <w:b/>
      <w:bCs/>
      <w:sz w:val="24"/>
      <w:szCs w:val="24"/>
    </w:rPr>
  </w:style>
  <w:style w:type="character" w:styleId="TekstpodstawowywcityZnak" w:customStyle="1">
    <w:name w:val="Tekst podstawowy wcięty Znak"/>
    <w:qFormat/>
    <w:rsid w:val="00235f37"/>
    <w:rPr>
      <w:sz w:val="24"/>
      <w:szCs w:val="24"/>
    </w:rPr>
  </w:style>
  <w:style w:type="character" w:styleId="Tekstpodstawowy3Znak" w:customStyle="1">
    <w:name w:val="Tekst podstawowy 3 Znak"/>
    <w:link w:val="BodyText3"/>
    <w:qFormat/>
    <w:rsid w:val="00235f37"/>
    <w:rPr>
      <w:sz w:val="24"/>
      <w:szCs w:val="24"/>
    </w:rPr>
  </w:style>
  <w:style w:type="character" w:styleId="Strong">
    <w:name w:val="Strong"/>
    <w:uiPriority w:val="99"/>
    <w:qFormat/>
    <w:locked/>
    <w:rsid w:val="00235f37"/>
    <w:rPr>
      <w:b/>
      <w:bCs/>
    </w:rPr>
  </w:style>
  <w:style w:type="character" w:styleId="CommentReference">
    <w:name w:val="annotation reference"/>
    <w:qFormat/>
    <w:locked/>
    <w:rsid w:val="00437dc6"/>
    <w:rPr>
      <w:sz w:val="16"/>
      <w:szCs w:val="16"/>
    </w:rPr>
  </w:style>
  <w:style w:type="character" w:styleId="TekstkomentarzaZnak" w:customStyle="1">
    <w:name w:val="Tekst komentarza Znak"/>
    <w:link w:val="CommentText"/>
    <w:qFormat/>
    <w:rsid w:val="00437dc6"/>
    <w:rPr>
      <w:rFonts w:ascii="Lucida Grande" w:hAnsi="Lucida Grande" w:eastAsia="ヒラギノ角ゴ Pro W3"/>
      <w:color w:val="000000"/>
      <w:lang w:val="pl-PL" w:eastAsia="en-US"/>
    </w:rPr>
  </w:style>
  <w:style w:type="character" w:styleId="TematkomentarzaZnak" w:customStyle="1">
    <w:name w:val="Temat komentarza Znak"/>
    <w:link w:val="annotationsubject"/>
    <w:qFormat/>
    <w:rsid w:val="00437dc6"/>
    <w:rPr>
      <w:rFonts w:ascii="Lucida Grande" w:hAnsi="Lucida Grande" w:eastAsia="ヒラギノ角ゴ Pro W3"/>
      <w:b/>
      <w:bCs/>
      <w:color w:val="000000"/>
      <w:lang w:val="pl-PL" w:eastAsia="en-US"/>
    </w:rPr>
  </w:style>
  <w:style w:type="character" w:styleId="Hyperlink">
    <w:name w:val="Hyperlink"/>
    <w:locked/>
    <w:rsid w:val="00a31436"/>
    <w:rPr>
      <w:color w:val="0000FF"/>
      <w:u w:val="single"/>
    </w:rPr>
  </w:style>
  <w:style w:type="character" w:styleId="HTML-wstpniesformatowanyZnak" w:customStyle="1">
    <w:name w:val="HTML - wstępnie sformatowany Znak"/>
    <w:link w:val="HTMLPreformatted"/>
    <w:uiPriority w:val="99"/>
    <w:qFormat/>
    <w:rsid w:val="00cb2dbe"/>
    <w:rPr>
      <w:rFonts w:ascii="Courier New" w:hAnsi="Courier New" w:cs="Courier New"/>
    </w:rPr>
  </w:style>
  <w:style w:type="character" w:styleId="NagwekZnak" w:customStyle="1">
    <w:name w:val="Nagłówek Znak"/>
    <w:basedOn w:val="DefaultParagraphFont"/>
    <w:qFormat/>
    <w:rsid w:val="003429ad"/>
    <w:rPr>
      <w:rFonts w:ascii="Lucida Grande" w:hAnsi="Lucida Grande" w:eastAsia="ヒラギノ角ゴ Pro W3"/>
      <w:color w:val="000000"/>
      <w:sz w:val="22"/>
      <w:szCs w:val="24"/>
      <w:lang w:eastAsia="en-US"/>
    </w:rPr>
  </w:style>
  <w:style w:type="character" w:styleId="StopkaZnak" w:customStyle="1">
    <w:name w:val="Stopka Znak"/>
    <w:basedOn w:val="DefaultParagraphFont"/>
    <w:qFormat/>
    <w:rsid w:val="003429ad"/>
    <w:rPr>
      <w:rFonts w:ascii="Lucida Grande" w:hAnsi="Lucida Grande" w:eastAsia="ヒラギノ角ゴ Pro W3"/>
      <w:color w:val="000000"/>
      <w:sz w:val="22"/>
      <w:szCs w:val="24"/>
      <w:lang w:eastAsia="en-US"/>
    </w:rPr>
  </w:style>
  <w:style w:type="character" w:styleId="fontstyle01" w:customStyle="1">
    <w:name w:val="fontstyle01"/>
    <w:basedOn w:val="DefaultParagraphFont"/>
    <w:qFormat/>
    <w:rsid w:val="00b06746"/>
    <w:rPr>
      <w:rFonts w:ascii="Times New Roman" w:hAnsi="Times New Roman" w:cs="Times New Roman"/>
      <w:b w:val="false"/>
      <w:bCs w:val="false"/>
      <w:i w:val="false"/>
      <w:iCs w:val="false"/>
      <w:color w:val="000000"/>
      <w:sz w:val="16"/>
      <w:szCs w:val="16"/>
    </w:rPr>
  </w:style>
  <w:style w:type="character" w:styleId="fontstyle21" w:customStyle="1">
    <w:name w:val="fontstyle21"/>
    <w:basedOn w:val="DefaultParagraphFont"/>
    <w:qFormat/>
    <w:rsid w:val="00995b0b"/>
    <w:rPr>
      <w:rFonts w:ascii="Wingdings" w:hAnsi="Wingdings"/>
      <w:b w:val="false"/>
      <w:bCs w:val="false"/>
      <w:i w:val="false"/>
      <w:iCs w:val="false"/>
      <w:color w:val="000000"/>
      <w:sz w:val="24"/>
      <w:szCs w:val="24"/>
    </w:rPr>
  </w:style>
  <w:style w:type="character" w:styleId="TekstprzypisukocowegoZnak" w:customStyle="1">
    <w:name w:val="Tekst przypisu końcowego Znak"/>
    <w:basedOn w:val="DefaultParagraphFont"/>
    <w:semiHidden/>
    <w:qFormat/>
    <w:rsid w:val="009c0dc3"/>
    <w:rPr>
      <w:rFonts w:ascii="Lucida Grande" w:hAnsi="Lucida Grande" w:eastAsia="ヒラギノ角ゴ Pro W3"/>
      <w:color w:val="000000"/>
      <w:lang w:eastAsia="en-US"/>
    </w:rPr>
  </w:style>
  <w:style w:type="character" w:styleId="Znakiprzypiswkocowych" w:customStyle="1">
    <w:name w:val="Znaki przypisów końcowych"/>
    <w:semiHidden/>
    <w:unhideWhenUsed/>
    <w:qFormat/>
    <w:locked/>
    <w:rsid w:val="009c0dc3"/>
    <w:rPr>
      <w:vertAlign w:val="superscript"/>
    </w:rPr>
  </w:style>
  <w:style w:type="character" w:styleId="Znakiprzypiswkocowychuser" w:customStyle="1">
    <w:name w:val="Znaki przypisów końcowych (user)"/>
    <w:qFormat/>
    <w:rPr>
      <w:vertAlign w:val="superscript"/>
    </w:rPr>
  </w:style>
  <w:style w:type="character" w:styleId="EndnoteReference">
    <w:name w:val="endnote reference"/>
    <w:rPr>
      <w:vertAlign w:val="superscript"/>
    </w:rPr>
  </w:style>
  <w:style w:type="character" w:styleId="TekstprzypisudolnegoZnak" w:customStyle="1">
    <w:name w:val="Tekst przypisu dolnego Znak"/>
    <w:basedOn w:val="DefaultParagraphFont"/>
    <w:semiHidden/>
    <w:qFormat/>
    <w:rsid w:val="00410d9b"/>
    <w:rPr>
      <w:rFonts w:ascii="Lucida Grande" w:hAnsi="Lucida Grande" w:eastAsia="ヒラギノ角ゴ Pro W3"/>
      <w:color w:val="000000"/>
      <w:lang w:eastAsia="en-US"/>
    </w:rPr>
  </w:style>
  <w:style w:type="character" w:styleId="Znakiprzypiswdolnych" w:customStyle="1">
    <w:name w:val="Znaki przypisów dolnych"/>
    <w:semiHidden/>
    <w:unhideWhenUsed/>
    <w:qFormat/>
    <w:locked/>
    <w:rsid w:val="00410d9b"/>
    <w:rPr>
      <w:vertAlign w:val="superscript"/>
    </w:rPr>
  </w:style>
  <w:style w:type="character" w:styleId="Znakiprzypiswdolnychuser" w:customStyle="1">
    <w:name w:val="Znaki przypisów dolnych (user)"/>
    <w:qFormat/>
    <w:rPr>
      <w:vertAlign w:val="superscript"/>
    </w:rPr>
  </w:style>
  <w:style w:type="character" w:styleId="FootnoteReference">
    <w:name w:val="footnote reference"/>
    <w:rPr>
      <w:vertAlign w:val="superscript"/>
    </w:rPr>
  </w:style>
  <w:style w:type="character" w:styleId="colour" w:customStyle="1">
    <w:name w:val="colour"/>
    <w:basedOn w:val="DefaultParagraphFont"/>
    <w:qFormat/>
    <w:rsid w:val="00174524"/>
    <w:rPr/>
  </w:style>
  <w:style w:type="character" w:styleId="Nierozpoznanawzmianka1" w:customStyle="1">
    <w:name w:val="Nierozpoznana wzmianka1"/>
    <w:basedOn w:val="DefaultParagraphFont"/>
    <w:uiPriority w:val="99"/>
    <w:semiHidden/>
    <w:unhideWhenUsed/>
    <w:qFormat/>
    <w:rsid w:val="000461cc"/>
    <w:rPr>
      <w:color w:val="605E5C"/>
      <w:shd w:fill="E1DFDD" w:val="clear"/>
    </w:rPr>
  </w:style>
  <w:style w:type="character" w:styleId="Nierozpoznanawzmianka2" w:customStyle="1">
    <w:name w:val="Nierozpoznana wzmianka2"/>
    <w:basedOn w:val="DefaultParagraphFont"/>
    <w:uiPriority w:val="99"/>
    <w:semiHidden/>
    <w:unhideWhenUsed/>
    <w:qFormat/>
    <w:rsid w:val="00042588"/>
    <w:rPr>
      <w:color w:val="605E5C"/>
      <w:shd w:fill="E1DFDD" w:val="clear"/>
    </w:rPr>
  </w:style>
  <w:style w:type="character" w:styleId="Nierozpoznanawzmianka3" w:customStyle="1">
    <w:name w:val="Nierozpoznana wzmianka3"/>
    <w:basedOn w:val="DefaultParagraphFont"/>
    <w:uiPriority w:val="99"/>
    <w:semiHidden/>
    <w:unhideWhenUsed/>
    <w:qFormat/>
    <w:rsid w:val="000c7639"/>
    <w:rPr>
      <w:color w:val="605E5C"/>
      <w:shd w:fill="E1DFDD" w:val="clear"/>
    </w:rPr>
  </w:style>
  <w:style w:type="character" w:styleId="Nagwek2Znak" w:customStyle="1">
    <w:name w:val="Nagłówek 2 Znak"/>
    <w:basedOn w:val="DefaultParagraphFont"/>
    <w:qFormat/>
    <w:rsid w:val="00b574a9"/>
    <w:rPr>
      <w:rFonts w:ascii="Cambria" w:hAnsi="Cambria" w:eastAsia="" w:cs="" w:asciiTheme="majorHAnsi" w:cstheme="majorBidi" w:eastAsiaTheme="majorEastAsia" w:hAnsiTheme="majorHAnsi"/>
      <w:color w:themeColor="accent1" w:themeShade="bf" w:val="365F91"/>
      <w:sz w:val="26"/>
      <w:szCs w:val="26"/>
      <w:lang w:eastAsia="en-US"/>
    </w:rPr>
  </w:style>
  <w:style w:type="character" w:styleId="Znakinumeracjiuser" w:customStyle="1">
    <w:name w:val="Znaki numeracji (user)"/>
    <w:qFormat/>
    <w:rPr/>
  </w:style>
  <w:style w:type="character" w:styleId="Znakiwypunktowania">
    <w:name w:val="Znaki wypunktowania"/>
    <w:qFormat/>
    <w:rPr>
      <w:rFonts w:ascii="OpenSymbol" w:hAnsi="OpenSymbol" w:eastAsia="OpenSymbol" w:cs="OpenSymbol"/>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locked/>
    <w:rsid w:val="00235f37"/>
    <w:pPr>
      <w:spacing w:lineRule="auto" w:line="240" w:before="0" w:after="0"/>
      <w:jc w:val="center"/>
    </w:pPr>
    <w:rPr>
      <w:rFonts w:ascii="Times New Roman" w:hAnsi="Times New Roman" w:eastAsia="Times New Roman"/>
      <w:b/>
      <w:bCs/>
      <w:color w:val="auto"/>
      <w:sz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rPr>
  </w:style>
  <w:style w:type="paragraph" w:styleId="Indeks" w:customStyle="1">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Gwkaistopka" w:customStyle="1">
    <w:name w:val="Główka i stopka"/>
    <w:basedOn w:val="Normal"/>
    <w:qFormat/>
    <w:pPr/>
    <w:rPr/>
  </w:style>
  <w:style w:type="paragraph" w:styleId="Gwkaistopkauser" w:customStyle="1">
    <w:name w:val="Główka i stopka (user)"/>
    <w:basedOn w:val="Normal"/>
    <w:qFormat/>
    <w:pPr/>
    <w:rPr/>
  </w:style>
  <w:style w:type="paragraph" w:styleId="Header">
    <w:name w:val="header"/>
    <w:basedOn w:val="Normal"/>
    <w:next w:val="BodyText"/>
    <w:link w:val="NagwekZnak"/>
    <w:locked/>
    <w:rsid w:val="003429ad"/>
    <w:pPr>
      <w:tabs>
        <w:tab w:val="clear" w:pos="720"/>
        <w:tab w:val="center" w:pos="4536" w:leader="none"/>
        <w:tab w:val="right" w:pos="9072" w:leader="none"/>
      </w:tabs>
      <w:spacing w:lineRule="auto" w:line="240" w:before="0" w:after="0"/>
    </w:pPr>
    <w:rPr/>
  </w:style>
  <w:style w:type="paragraph" w:styleId="Nagwek1" w:customStyle="1">
    <w:name w:val="Nagłówek1"/>
    <w:next w:val="BodyText"/>
    <w:qFormat/>
    <w:rsid w:val="008f1997"/>
    <w:pPr>
      <w:widowControl/>
      <w:tabs>
        <w:tab w:val="clear" w:pos="720"/>
        <w:tab w:val="center" w:pos="4536" w:leader="none"/>
        <w:tab w:val="right" w:pos="9072" w:leader="none"/>
      </w:tabs>
      <w:suppressAutoHyphens w:val="true"/>
      <w:bidi w:val="0"/>
      <w:spacing w:before="0" w:after="0"/>
      <w:jc w:val="left"/>
    </w:pPr>
    <w:rPr>
      <w:rFonts w:ascii="Lucida Grande" w:hAnsi="Lucida Grande" w:eastAsia="ヒラギノ角ゴ Pro W3" w:cs="Times New Roman"/>
      <w:color w:val="000000"/>
      <w:kern w:val="0"/>
      <w:sz w:val="22"/>
      <w:szCs w:val="20"/>
      <w:lang w:val="pl-PL" w:eastAsia="pl-PL" w:bidi="ar-SA"/>
    </w:rPr>
  </w:style>
  <w:style w:type="paragraph" w:styleId="Stopka1" w:customStyle="1">
    <w:name w:val="Stopka1"/>
    <w:qFormat/>
    <w:rsid w:val="008f1997"/>
    <w:pPr>
      <w:widowControl/>
      <w:tabs>
        <w:tab w:val="clear" w:pos="720"/>
        <w:tab w:val="center" w:pos="4536" w:leader="none"/>
        <w:tab w:val="right" w:pos="9072" w:leader="none"/>
      </w:tabs>
      <w:suppressAutoHyphens w:val="true"/>
      <w:bidi w:val="0"/>
      <w:spacing w:before="0" w:after="0"/>
      <w:jc w:val="left"/>
    </w:pPr>
    <w:rPr>
      <w:rFonts w:ascii="Lucida Grande" w:hAnsi="Lucida Grande" w:eastAsia="ヒラギノ角ゴ Pro W3" w:cs="Times New Roman"/>
      <w:color w:val="000000"/>
      <w:kern w:val="0"/>
      <w:sz w:val="22"/>
      <w:szCs w:val="20"/>
      <w:lang w:val="pl-PL" w:eastAsia="pl-PL" w:bidi="ar-SA"/>
    </w:rPr>
  </w:style>
  <w:style w:type="paragraph" w:styleId="Default" w:customStyle="1">
    <w:name w:val="Default"/>
    <w:qFormat/>
    <w:rsid w:val="008f1997"/>
    <w:pPr>
      <w:widowControl/>
      <w:suppressAutoHyphens w:val="true"/>
      <w:bidi w:val="0"/>
      <w:spacing w:before="0" w:after="0"/>
      <w:jc w:val="left"/>
    </w:pPr>
    <w:rPr>
      <w:rFonts w:ascii="Lucida Grande" w:hAnsi="Lucida Grande" w:eastAsia="ヒラギノ角ゴ Pro W3" w:cs="Times New Roman"/>
      <w:color w:val="000000"/>
      <w:kern w:val="0"/>
      <w:sz w:val="24"/>
      <w:szCs w:val="20"/>
      <w:lang w:val="pl-PL" w:eastAsia="pl-PL" w:bidi="ar-SA"/>
    </w:rPr>
  </w:style>
  <w:style w:type="paragraph" w:styleId="Akapitzlist1" w:customStyle="1">
    <w:name w:val="Akapit z listą1"/>
    <w:qFormat/>
    <w:rsid w:val="008f1997"/>
    <w:pPr>
      <w:widowControl/>
      <w:suppressAutoHyphens w:val="true"/>
      <w:bidi w:val="0"/>
      <w:spacing w:before="0" w:after="0"/>
      <w:ind w:left="708"/>
      <w:jc w:val="left"/>
    </w:pPr>
    <w:rPr>
      <w:rFonts w:ascii="Times New Roman" w:hAnsi="Times New Roman" w:eastAsia="ヒラギノ角ゴ Pro W3" w:cs="Times New Roman"/>
      <w:color w:val="000000"/>
      <w:kern w:val="0"/>
      <w:sz w:val="24"/>
      <w:szCs w:val="20"/>
      <w:lang w:val="pl-PL" w:eastAsia="pl-PL" w:bidi="ar-SA"/>
    </w:rPr>
  </w:style>
  <w:style w:type="paragraph" w:styleId="Bezformatowania" w:customStyle="1">
    <w:name w:val="Bez formatowania"/>
    <w:qFormat/>
    <w:rsid w:val="008f1997"/>
    <w:pPr>
      <w:widowControl/>
      <w:suppressAutoHyphens w:val="true"/>
      <w:bidi w:val="0"/>
      <w:spacing w:before="0" w:after="0"/>
      <w:jc w:val="left"/>
    </w:pPr>
    <w:rPr>
      <w:rFonts w:ascii="Times New Roman" w:hAnsi="Times New Roman" w:eastAsia="ヒラギノ角ゴ Pro W3" w:cs="Times New Roman"/>
      <w:color w:val="000000"/>
      <w:kern w:val="0"/>
      <w:sz w:val="20"/>
      <w:szCs w:val="20"/>
      <w:lang w:val="pl-PL" w:eastAsia="pl-PL" w:bidi="ar-SA"/>
    </w:rPr>
  </w:style>
  <w:style w:type="paragraph" w:styleId="BezformatowaniaA" w:customStyle="1">
    <w:name w:val="Bez formatowania A"/>
    <w:qFormat/>
    <w:rsid w:val="008f1997"/>
    <w:pPr>
      <w:widowControl/>
      <w:suppressAutoHyphens w:val="true"/>
      <w:bidi w:val="0"/>
      <w:spacing w:lineRule="auto" w:line="276" w:before="0" w:after="200"/>
      <w:jc w:val="left"/>
    </w:pPr>
    <w:rPr>
      <w:rFonts w:ascii="Lucida Grande" w:hAnsi="Lucida Grande" w:eastAsia="ヒラギノ角ゴ Pro W3" w:cs="Times New Roman"/>
      <w:color w:val="000000"/>
      <w:kern w:val="0"/>
      <w:sz w:val="22"/>
      <w:szCs w:val="20"/>
      <w:lang w:val="pl-PL" w:eastAsia="pl-PL" w:bidi="ar-SA"/>
    </w:rPr>
  </w:style>
  <w:style w:type="paragraph" w:styleId="Tekstpodstawowywcity1" w:customStyle="1">
    <w:name w:val="Tekst podstawowy wcięty1"/>
    <w:qFormat/>
    <w:rsid w:val="008f1997"/>
    <w:pPr>
      <w:widowControl/>
      <w:tabs>
        <w:tab w:val="clear" w:pos="720"/>
        <w:tab w:val="left" w:pos="360" w:leader="none"/>
      </w:tabs>
      <w:suppressAutoHyphens w:val="true"/>
      <w:bidi w:val="0"/>
      <w:spacing w:before="0" w:after="0"/>
      <w:ind w:hanging="360" w:left="360"/>
      <w:jc w:val="both"/>
    </w:pPr>
    <w:rPr>
      <w:rFonts w:ascii="Times New Roman" w:hAnsi="Times New Roman" w:eastAsia="ヒラギノ角ゴ Pro W3" w:cs="Times New Roman"/>
      <w:color w:val="000000"/>
      <w:kern w:val="0"/>
      <w:sz w:val="24"/>
      <w:szCs w:val="20"/>
      <w:lang w:val="pl-PL" w:eastAsia="pl-PL" w:bidi="ar-SA"/>
    </w:rPr>
  </w:style>
  <w:style w:type="paragraph" w:styleId="Subtitle">
    <w:name w:val="Subtitle"/>
    <w:basedOn w:val="Normal"/>
    <w:next w:val="Normal"/>
    <w:link w:val="PodtytuZnak"/>
    <w:qFormat/>
    <w:locked/>
    <w:rsid w:val="00b31db9"/>
    <w:pPr>
      <w:spacing w:before="0" w:after="60"/>
      <w:jc w:val="center"/>
      <w:outlineLvl w:val="1"/>
    </w:pPr>
    <w:rPr>
      <w:rFonts w:ascii="Calibri Light" w:hAnsi="Calibri Light" w:eastAsia="Times New Roman"/>
      <w:sz w:val="24"/>
    </w:rPr>
  </w:style>
  <w:style w:type="paragraph" w:styleId="BalloonText">
    <w:name w:val="Balloon Text"/>
    <w:basedOn w:val="Normal"/>
    <w:link w:val="TekstdymkaZnak"/>
    <w:qFormat/>
    <w:locked/>
    <w:rsid w:val="00356134"/>
    <w:pPr>
      <w:spacing w:lineRule="auto" w:line="240" w:before="0" w:after="0"/>
    </w:pPr>
    <w:rPr>
      <w:rFonts w:ascii="Tahoma" w:hAnsi="Tahoma"/>
      <w:sz w:val="16"/>
      <w:szCs w:val="16"/>
    </w:rPr>
  </w:style>
  <w:style w:type="paragraph" w:styleId="ListParagraph">
    <w:name w:val="List Paragraph"/>
    <w:basedOn w:val="Normal"/>
    <w:uiPriority w:val="99"/>
    <w:qFormat/>
    <w:rsid w:val="00c5698c"/>
    <w:pPr>
      <w:spacing w:lineRule="auto" w:line="240" w:before="0" w:after="0"/>
      <w:ind w:left="708"/>
    </w:pPr>
    <w:rPr>
      <w:rFonts w:ascii="Times New Roman" w:hAnsi="Times New Roman" w:eastAsia="Times New Roman"/>
      <w:color w:val="auto"/>
      <w:sz w:val="24"/>
      <w:lang w:eastAsia="pl-PL"/>
    </w:rPr>
  </w:style>
  <w:style w:type="paragraph" w:styleId="BodyTextIndent">
    <w:name w:val="Body Text Indent"/>
    <w:basedOn w:val="Normal"/>
    <w:link w:val="TekstpodstawowywcityZnak"/>
    <w:locked/>
    <w:rsid w:val="00235f37"/>
    <w:pPr>
      <w:tabs>
        <w:tab w:val="clear" w:pos="720"/>
        <w:tab w:val="left" w:pos="360" w:leader="none"/>
      </w:tabs>
      <w:spacing w:lineRule="auto" w:line="240" w:before="0" w:after="0"/>
      <w:ind w:hanging="360" w:left="360"/>
      <w:jc w:val="both"/>
    </w:pPr>
    <w:rPr>
      <w:rFonts w:ascii="Times New Roman" w:hAnsi="Times New Roman" w:eastAsia="Times New Roman"/>
      <w:color w:val="auto"/>
      <w:sz w:val="24"/>
    </w:rPr>
  </w:style>
  <w:style w:type="paragraph" w:styleId="BodyText3">
    <w:name w:val="Body Text 3"/>
    <w:basedOn w:val="Normal"/>
    <w:link w:val="Tekstpodstawowy3Znak"/>
    <w:qFormat/>
    <w:locked/>
    <w:rsid w:val="00235f37"/>
    <w:pPr>
      <w:spacing w:lineRule="auto" w:line="360" w:before="0" w:after="0"/>
      <w:jc w:val="both"/>
    </w:pPr>
    <w:rPr>
      <w:rFonts w:ascii="Times New Roman" w:hAnsi="Times New Roman" w:eastAsia="Times New Roman"/>
      <w:color w:val="auto"/>
      <w:sz w:val="24"/>
    </w:rPr>
  </w:style>
  <w:style w:type="paragraph" w:styleId="CommentText">
    <w:name w:val="annotation text"/>
    <w:basedOn w:val="Normal"/>
    <w:link w:val="TekstkomentarzaZnak"/>
    <w:locked/>
    <w:rsid w:val="00437dc6"/>
    <w:pPr/>
    <w:rPr>
      <w:sz w:val="20"/>
      <w:szCs w:val="20"/>
    </w:rPr>
  </w:style>
  <w:style w:type="paragraph" w:styleId="annotationsubject">
    <w:name w:val="annotation subject"/>
    <w:basedOn w:val="CommentText"/>
    <w:next w:val="CommentText"/>
    <w:link w:val="TematkomentarzaZnak"/>
    <w:qFormat/>
    <w:locked/>
    <w:rsid w:val="00437dc6"/>
    <w:pPr/>
    <w:rPr>
      <w:b/>
      <w:bCs/>
    </w:rPr>
  </w:style>
  <w:style w:type="paragraph" w:styleId="HTMLPreformatted">
    <w:name w:val="HTML Preformatted"/>
    <w:basedOn w:val="Normal"/>
    <w:link w:val="HTML-wstpniesformatowanyZnak"/>
    <w:uiPriority w:val="99"/>
    <w:unhideWhenUsed/>
    <w:qFormat/>
    <w:locked/>
    <w:rsid w:val="00cb2db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color w:val="auto"/>
      <w:sz w:val="20"/>
      <w:szCs w:val="20"/>
      <w:lang w:eastAsia="pl-PL"/>
    </w:rPr>
  </w:style>
  <w:style w:type="paragraph" w:styleId="Footer">
    <w:name w:val="footer"/>
    <w:basedOn w:val="Normal"/>
    <w:link w:val="StopkaZnak"/>
    <w:locked/>
    <w:rsid w:val="003429ad"/>
    <w:pPr>
      <w:tabs>
        <w:tab w:val="clear" w:pos="720"/>
        <w:tab w:val="center" w:pos="4536" w:leader="none"/>
        <w:tab w:val="right" w:pos="9072" w:leader="none"/>
      </w:tabs>
      <w:spacing w:lineRule="auto" w:line="240" w:before="0" w:after="0"/>
    </w:pPr>
    <w:rPr/>
  </w:style>
  <w:style w:type="paragraph" w:styleId="EndnoteText">
    <w:name w:val="endnote text"/>
    <w:basedOn w:val="Normal"/>
    <w:link w:val="TekstprzypisukocowegoZnak"/>
    <w:semiHidden/>
    <w:unhideWhenUsed/>
    <w:locked/>
    <w:rsid w:val="009c0dc3"/>
    <w:pPr>
      <w:spacing w:lineRule="auto" w:line="240" w:before="0" w:after="0"/>
    </w:pPr>
    <w:rPr>
      <w:sz w:val="20"/>
      <w:szCs w:val="20"/>
    </w:rPr>
  </w:style>
  <w:style w:type="paragraph" w:styleId="FootnoteText">
    <w:name w:val="footnote text"/>
    <w:basedOn w:val="Normal"/>
    <w:link w:val="TekstprzypisudolnegoZnak"/>
    <w:semiHidden/>
    <w:unhideWhenUsed/>
    <w:locked/>
    <w:rsid w:val="00410d9b"/>
    <w:pPr>
      <w:spacing w:lineRule="auto" w:line="240" w:before="0" w:after="0"/>
    </w:pPr>
    <w:rPr>
      <w:sz w:val="20"/>
      <w:szCs w:val="20"/>
    </w:rPr>
  </w:style>
  <w:style w:type="paragraph" w:styleId="Revision">
    <w:name w:val="Revision"/>
    <w:uiPriority w:val="99"/>
    <w:semiHidden/>
    <w:qFormat/>
    <w:rsid w:val="000f39ae"/>
    <w:pPr>
      <w:widowControl/>
      <w:suppressAutoHyphens w:val="true"/>
      <w:bidi w:val="0"/>
      <w:spacing w:before="0" w:after="0"/>
      <w:jc w:val="left"/>
    </w:pPr>
    <w:rPr>
      <w:rFonts w:ascii="Lucida Grande" w:hAnsi="Lucida Grande" w:eastAsia="ヒラギノ角ゴ Pro W3" w:cs="Times New Roman"/>
      <w:color w:val="000000"/>
      <w:kern w:val="0"/>
      <w:sz w:val="22"/>
      <w:szCs w:val="24"/>
      <w:lang w:val="pl-PL" w:eastAsia="en-US" w:bidi="ar-SA"/>
    </w:rPr>
  </w:style>
  <w:style w:type="paragraph" w:styleId="NormalWeb">
    <w:name w:val="Normal (Web)"/>
    <w:basedOn w:val="Normal"/>
    <w:uiPriority w:val="99"/>
    <w:unhideWhenUsed/>
    <w:qFormat/>
    <w:locked/>
    <w:rsid w:val="00eb118f"/>
    <w:pPr>
      <w:spacing w:lineRule="auto" w:line="240" w:beforeAutospacing="1" w:afterAutospacing="1"/>
    </w:pPr>
    <w:rPr>
      <w:rFonts w:ascii="Times New Roman" w:hAnsi="Times New Roman" w:eastAsia="Times New Roman"/>
      <w:color w:val="auto"/>
      <w:sz w:val="24"/>
      <w:lang w:eastAsia="pl-PL"/>
    </w:rPr>
  </w:style>
  <w:style w:type="paragraph" w:styleId="Normalny1" w:customStyle="1">
    <w:name w:val="Normalny1"/>
    <w:qFormat/>
    <w:rsid w:val="00174524"/>
    <w:pPr>
      <w:widowControl/>
      <w:suppressAutoHyphens w:val="true"/>
      <w:bidi w:val="0"/>
      <w:spacing w:before="0" w:after="0"/>
      <w:jc w:val="left"/>
    </w:pPr>
    <w:rPr>
      <w:rFonts w:ascii="Calibri" w:hAnsi="Calibri" w:eastAsia="Calibri" w:cs="Calibri"/>
      <w:color w:val="000000"/>
      <w:kern w:val="0"/>
      <w:sz w:val="20"/>
      <w:szCs w:val="20"/>
      <w:lang w:val="pl-PL" w:eastAsia="pl-PL" w:bidi="ar-SA"/>
    </w:rPr>
  </w:style>
  <w:style w:type="numbering" w:styleId="Bezlisty" w:customStyle="1">
    <w:name w:val="Bez listy"/>
    <w:uiPriority w:val="99"/>
    <w:semiHidden/>
    <w:unhideWhenUsed/>
    <w:qFormat/>
  </w:style>
  <w:style w:type="numbering" w:styleId="Bezlisty1" w:customStyle="1">
    <w:name w:val="Bez listy1"/>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hyperlink" Target="mailto:mms@tlok.pl" TargetMode="External"/><Relationship Id="rId11" Type="http://schemas.openxmlformats.org/officeDocument/2006/relationships/hyperlink" Target="mailto:mms@trgp.org.pl" TargetMode="External"/><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image" Target="media/image1.png"/><Relationship Id="rId16" Type="http://schemas.openxmlformats.org/officeDocument/2006/relationships/hyperlink" Target="http://www.tlok.pl/" TargetMode="External"/><Relationship Id="rId17" Type="http://schemas.openxmlformats.org/officeDocument/2006/relationships/hyperlink" Target="http://www.trgp.org.pl/" TargetMode="External"/><Relationship Id="rId18" Type="http://schemas.openxmlformats.org/officeDocument/2006/relationships/image" Target="media/image1.png"/><Relationship Id="rId19" Type="http://schemas.openxmlformats.org/officeDocument/2006/relationships/image" Target="media/image1.png"/><Relationship Id="rId20" Type="http://schemas.openxmlformats.org/officeDocument/2006/relationships/image" Target="media/image1.png"/><Relationship Id="rId21" Type="http://schemas.openxmlformats.org/officeDocument/2006/relationships/image" Target="media/image1.png"/><Relationship Id="rId22" Type="http://schemas.openxmlformats.org/officeDocument/2006/relationships/image" Target="media/image1.png"/><Relationship Id="rId23" Type="http://schemas.openxmlformats.org/officeDocument/2006/relationships/image" Target="media/image1.png"/><Relationship Id="rId24" Type="http://schemas.openxmlformats.org/officeDocument/2006/relationships/image" Target="media/image1.png"/><Relationship Id="rId25" Type="http://schemas.openxmlformats.org/officeDocument/2006/relationships/image" Target="media/image1.png"/><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header" Target="header3.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Relationship Id="rId3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859F9-4280-4FE7-A02E-117F22001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Application>LibreOffice/26.2.5.2$Windows_X86_64 LibreOffice_project/cd7284b4cbbfeb507e630c1aac019f4157393acb</Application>
  <AppVersion>15.0000</AppVersion>
  <Pages>27</Pages>
  <Words>6529</Words>
  <Characters>43385</Characters>
  <CharactersWithSpaces>49715</CharactersWithSpaces>
  <Paragraphs>296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2026-06-16T10:24:00Z</dcterms:created>
  <dc:creator>Narodowy Instytut Wolności</dc:creator>
  <dc:description/>
  <dc:language>pl-PL</dc:language>
  <cp:lastModifiedBy/>
  <cp:lastPrinted>2022-01-18T13:55:00Z</cp:lastPrinted>
  <dcterms:modified xsi:type="dcterms:W3CDTF">2026-09-04T13:18:19Z</dcterms:modified>
  <cp:revision>29</cp:revision>
  <dc:subject/>
  <dc:title>Regulamin Moc Małych Społeczności 2026</dc:title>
</cp:coreProperties>
</file>

<file path=docProps/custom.xml><?xml version="1.0" encoding="utf-8"?>
<Properties xmlns="http://schemas.openxmlformats.org/officeDocument/2006/custom-properties" xmlns:vt="http://schemas.openxmlformats.org/officeDocument/2006/docPropsVTypes"/>
</file>