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394E9E7B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 grudnia, Bydgoszcz, BCOPW, godz. 12.30-15.30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3D75C03C" w:rsidR="00810FCA" w:rsidRPr="00810FCA" w:rsidRDefault="001132A3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12.30-13.00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622DFC3E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</w:t>
            </w:r>
            <w:r w:rsidRPr="00E16E6D">
              <w:rPr>
                <w:rFonts w:cstheme="minorHAnsi"/>
              </w:rPr>
              <w:t>asady składania ofert w ramach konkursów dla organizacji pozarządowych – edycja 2023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534AC6E8" w:rsidR="00A074D1" w:rsidRPr="00810FCA" w:rsidRDefault="001132A3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13.00-14.00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  <w:bookmarkStart w:id="0" w:name="_GoBack"/>
            <w:bookmarkEnd w:id="0"/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7E7529B6" w:rsidR="00A074D1" w:rsidRPr="00810FCA" w:rsidRDefault="001132A3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14.00-15.30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30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2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1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11</cp:revision>
  <cp:lastPrinted>2018-12-03T11:44:00Z</cp:lastPrinted>
  <dcterms:created xsi:type="dcterms:W3CDTF">2021-07-11T20:51:00Z</dcterms:created>
  <dcterms:modified xsi:type="dcterms:W3CDTF">2022-11-16T09:43:00Z</dcterms:modified>
</cp:coreProperties>
</file>